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HIPAA 2025 NPRM Compliance Report</w:t>
      </w:r>
    </w:p>
    <w:bookmarkStart w:id="23" w:name="X798d465cec5b76b882c0765b0386e66150f3f72"/>
    <w:p>
      <w:pPr>
        <w:pStyle w:val="Heading1"/>
      </w:pPr>
      <w:r>
        <w:t xml:space="preserve">Cisco Secure Workload - HIPAA 2025 NPRM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HIPAA Security Rule - 2025 Notice of Proposed Rulemaking (NPRM)</w:t>
      </w:r>
      <w:r>
        <w:br/>
      </w:r>
      <w:r>
        <w:rPr>
          <w:b/>
          <w:bCs/>
        </w:rPr>
        <w:t xml:space="preserve">Primary audience:</w:t>
      </w:r>
      <w:r>
        <w:t xml:space="preserve"> </w:t>
      </w:r>
      <w:r>
        <w:t xml:space="preserve">Healthcare covered entities, business associates, compliance leaders, and security architects preparing for the 2025 NPRM and tracking implementation expectations.</w:t>
      </w:r>
      <w:r>
        <w:br/>
      </w:r>
      <w:r>
        <w:rPr>
          <w:b/>
          <w:bCs/>
        </w:rPr>
        <w:t xml:space="preserve">CSW positioning:</w:t>
      </w:r>
      <w:r>
        <w:t xml:space="preserve"> </w:t>
      </w:r>
      <w:r>
        <w:t xml:space="preserve">Proposed mandatory network segmentation, technology asset inventory expansion, longer audit-trail retention architecture, 72-hour breach timeline support, and annual technical assessment evidence.</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This report references the HIPAA Security Rule 2025 NPRM published by HHS / OCR. The NPRM is a PROPOSED rule. Final rule text, effective dates, and implementation expectations may differ from the NPRM. Revalidate this mapping after final rulemaking. Specific section references (e.g. proposed 45 CFR 164.312(a)(2)(vi) network segmentation; 24-month audit trail retention; 72-hour breach timeline) reflect the proposed-rule language at the time of writing.</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CSW-HIPAA-NPRM-Technical-Runbook.md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HIPAA-2025-NPRM</w:t>
      </w:r>
      <w:r>
        <w:br/>
      </w:r>
      <w:r>
        <w:rPr>
          <w:rStyle w:val="VerbatimChar"/>
        </w:rPr>
        <w:t xml:space="preserve">├── ePHI-Systems</w:t>
      </w:r>
      <w:r>
        <w:br/>
      </w:r>
      <w:r>
        <w:rPr>
          <w:rStyle w:val="VerbatimChar"/>
        </w:rPr>
        <w:t xml:space="preserve">├── Network-Segmentation-Boundary</w:t>
      </w:r>
      <w:r>
        <w:br/>
      </w:r>
      <w:r>
        <w:rPr>
          <w:rStyle w:val="VerbatimChar"/>
        </w:rPr>
        <w:t xml:space="preserve">├── Technology-Asset-Inventory</w:t>
      </w:r>
      <w:r>
        <w:br/>
      </w:r>
      <w:r>
        <w:rPr>
          <w:rStyle w:val="VerbatimChar"/>
        </w:rPr>
        <w:t xml:space="preserve">├── Audit-Trail-Sources</w:t>
      </w:r>
      <w:r>
        <w:br/>
      </w:r>
      <w:r>
        <w:rPr>
          <w:rStyle w:val="VerbatimChar"/>
        </w:rPr>
        <w:t xml:space="preserve">└── Incident-Timeline</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Proposed network segmentation requirement (workload-to-workload allowlist)</w:t>
      </w:r>
    </w:p>
    <w:p>
      <w:pPr>
        <w:pStyle w:val="Compact"/>
        <w:numPr>
          <w:ilvl w:val="0"/>
          <w:numId w:val="1001"/>
        </w:numPr>
      </w:pPr>
      <w:r>
        <w:t xml:space="preserve">Proposed expanded technology asset inventory (workload + software inventory)</w:t>
      </w:r>
    </w:p>
    <w:p>
      <w:pPr>
        <w:pStyle w:val="Compact"/>
        <w:numPr>
          <w:ilvl w:val="0"/>
          <w:numId w:val="1001"/>
        </w:numPr>
      </w:pPr>
      <w:r>
        <w:t xml:space="preserve">Proposed longer audit-trail retention (architecture / evidence inputs)</w:t>
      </w:r>
    </w:p>
    <w:p>
      <w:pPr>
        <w:pStyle w:val="Compact"/>
        <w:numPr>
          <w:ilvl w:val="0"/>
          <w:numId w:val="1001"/>
        </w:numPr>
      </w:pPr>
      <w:r>
        <w:t xml:space="preserve">Proposed 72-hour breach timeline (forensic input)</w:t>
      </w:r>
    </w:p>
    <w:p>
      <w:pPr>
        <w:pStyle w:val="Compact"/>
        <w:numPr>
          <w:ilvl w:val="0"/>
          <w:numId w:val="1001"/>
        </w:numPr>
      </w:pPr>
      <w:r>
        <w:t xml:space="preserve">Proposed annual technical assessment (continuous evidence)</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Privacy Rule provisions</w:t>
      </w:r>
    </w:p>
    <w:p>
      <w:pPr>
        <w:pStyle w:val="Compact"/>
        <w:numPr>
          <w:ilvl w:val="0"/>
          <w:numId w:val="1002"/>
        </w:numPr>
      </w:pPr>
      <w:r>
        <w:t xml:space="preserve">Business Associate Agreement (BAA) lifecycle</w:t>
      </w:r>
    </w:p>
    <w:p>
      <w:pPr>
        <w:pStyle w:val="Compact"/>
        <w:numPr>
          <w:ilvl w:val="0"/>
          <w:numId w:val="1002"/>
        </w:numPr>
      </w:pPr>
      <w:r>
        <w:t xml:space="preserve">Identity and access management beyond workload-to-workload</w:t>
      </w:r>
    </w:p>
    <w:p>
      <w:pPr>
        <w:pStyle w:val="Compact"/>
        <w:numPr>
          <w:ilvl w:val="0"/>
          <w:numId w:val="1002"/>
        </w:numPr>
      </w:pPr>
      <w:r>
        <w:t xml:space="preserve">Encryption enforcement (CSW detects plaintext but does not enforce encryption)</w:t>
      </w:r>
    </w:p>
    <w:p>
      <w:pPr>
        <w:pStyle w:val="Compact"/>
        <w:numPr>
          <w:ilvl w:val="0"/>
          <w:numId w:val="1002"/>
        </w:numPr>
      </w:pPr>
      <w:r>
        <w:t xml:space="preserve">Final OCR / HHS interpretive guidance and enforcement decisions</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Proposed mandatory network segmentation</w:t>
            </w:r>
          </w:p>
        </w:tc>
        <w:tc>
          <w:tcPr>
            <w:shd w:val="clear" w:color="auto" w:fill="107C41"/>
          </w:tcPr>
          <w:p>
            <w:pPr>
              <w:pStyle w:val="Compact"/>
            </w:pPr>
            <w:r>
              <w:rPr>
                <w:b/>
                <w:color w:val="FFFFFF"/>
              </w:rPr>
              <w:t>Direct</w:t>
            </w:r>
          </w:p>
        </w:tc>
        <w:tc>
          <w:tcPr/>
          <w:p>
            <w:pPr>
              <w:pStyle w:val="Compact"/>
            </w:pPr>
            <w:r>
              <w:t xml:space="preserve">Policy workspace + workload-to-workload allowlist</w:t>
            </w:r>
          </w:p>
        </w:tc>
        <w:tc>
          <w:tcPr/>
          <w:p>
            <w:pPr>
              <w:pStyle w:val="Compact"/>
            </w:pPr>
            <w:r>
              <w:t xml:space="preserve">Workspace snapshot + observed-vs-approved flow comparison</w:t>
            </w:r>
          </w:p>
        </w:tc>
      </w:tr>
      <w:tr>
        <w:tc>
          <w:tcPr>
            <w:shd w:val="clear" w:color="auto" w:fill="F2F2F2"/>
          </w:tcPr>
          <w:p>
            <w:pPr>
              <w:pStyle w:val="Compact"/>
            </w:pPr>
            <w:r>
              <w:t xml:space="preserve">Proposed expanded technology asset inventory</w:t>
            </w:r>
          </w:p>
        </w:tc>
        <w:tc>
          <w:tcPr>
            <w:shd w:val="clear" w:color="auto" w:fill="107C41"/>
          </w:tcPr>
          <w:p>
            <w:pPr>
              <w:pStyle w:val="Compact"/>
            </w:pPr>
            <w:r>
              <w:rPr>
                <w:b/>
                <w:color w:val="FFFFFF"/>
              </w:rPr>
              <w:t>Direct</w:t>
            </w:r>
          </w:p>
        </w:tc>
        <w:tc>
          <w:tcPr>
            <w:shd w:val="clear" w:color="auto" w:fill="F2F2F2"/>
          </w:tcPr>
          <w:p>
            <w:pPr>
              <w:pStyle w:val="Compact"/>
            </w:pPr>
            <w:r>
              <w:t xml:space="preserve">Workload inventory + software / package inventory</w:t>
            </w:r>
          </w:p>
        </w:tc>
        <w:tc>
          <w:tcPr>
            <w:shd w:val="clear" w:color="auto" w:fill="F2F2F2"/>
          </w:tcPr>
          <w:p>
            <w:pPr>
              <w:pStyle w:val="Compact"/>
            </w:pPr>
            <w:r>
              <w:t xml:space="preserve">Inventory and software-package extract reconciled to CMDB</w:t>
            </w:r>
          </w:p>
        </w:tc>
      </w:tr>
      <w:tr>
        <w:tc>
          <w:tcPr/>
          <w:p>
            <w:pPr>
              <w:pStyle w:val="Compact"/>
            </w:pPr>
            <w:r>
              <w:t xml:space="preserve">Proposed audit-trail retention</w:t>
            </w:r>
          </w:p>
        </w:tc>
        <w:tc>
          <w:tcPr>
            <w:shd w:val="clear" w:color="auto" w:fill="107C41"/>
          </w:tcPr>
          <w:p>
            <w:pPr>
              <w:pStyle w:val="Compact"/>
            </w:pPr>
            <w:r>
              <w:rPr>
                <w:b/>
                <w:color w:val="FFFFFF"/>
              </w:rPr>
              <w:t>Direct</w:t>
            </w:r>
          </w:p>
        </w:tc>
        <w:tc>
          <w:tcPr/>
          <w:p>
            <w:pPr>
              <w:pStyle w:val="Compact"/>
            </w:pPr>
            <w:r>
              <w:t xml:space="preserve">Workload flow + process telemetry retained per longer retention window</w:t>
            </w:r>
          </w:p>
        </w:tc>
        <w:tc>
          <w:tcPr/>
          <w:p>
            <w:pPr>
              <w:pStyle w:val="Compact"/>
            </w:pPr>
            <w:r>
              <w:t xml:space="preserve">Retained telemetry export with retention attestation</w:t>
            </w:r>
          </w:p>
        </w:tc>
      </w:tr>
      <w:tr>
        <w:tc>
          <w:tcPr>
            <w:shd w:val="clear" w:color="auto" w:fill="F2F2F2"/>
          </w:tcPr>
          <w:p>
            <w:pPr>
              <w:pStyle w:val="Compact"/>
            </w:pPr>
            <w:r>
              <w:t xml:space="preserve">Proposed 72-hour breach timeline</w:t>
            </w:r>
          </w:p>
        </w:tc>
        <w:tc>
          <w:tcPr>
            <w:shd w:val="clear" w:color="auto" w:fill="107C41"/>
          </w:tcPr>
          <w:p>
            <w:pPr>
              <w:pStyle w:val="Compact"/>
            </w:pPr>
            <w:r>
              <w:rPr>
                <w:b/>
                <w:color w:val="FFFFFF"/>
              </w:rPr>
              <w:t>Direct</w:t>
            </w:r>
          </w:p>
        </w:tc>
        <w:tc>
          <w:tcPr>
            <w:shd w:val="clear" w:color="auto" w:fill="F2F2F2"/>
          </w:tcPr>
          <w:p>
            <w:pPr>
              <w:pStyle w:val="Compact"/>
            </w:pPr>
            <w:r>
              <w:t xml:space="preserve">Forensic flow + process search across the incident window</w:t>
            </w:r>
          </w:p>
        </w:tc>
        <w:tc>
          <w:tcPr>
            <w:shd w:val="clear" w:color="auto" w:fill="F2F2F2"/>
          </w:tcPr>
          <w:p>
            <w:pPr>
              <w:pStyle w:val="Compact"/>
            </w:pPr>
            <w:r>
              <w:t xml:space="preserve">Investigation pack with timeline and ePHI-system-impact scope</w:t>
            </w:r>
          </w:p>
        </w:tc>
      </w:tr>
      <w:tr>
        <w:tc>
          <w:tcPr/>
          <w:p>
            <w:pPr>
              <w:pStyle w:val="Compact"/>
            </w:pPr>
            <w:r>
              <w:t xml:space="preserve">Proposed annual technical assessment</w:t>
            </w:r>
          </w:p>
        </w:tc>
        <w:tc>
          <w:tcPr>
            <w:shd w:val="clear" w:color="auto" w:fill="107C41"/>
          </w:tcPr>
          <w:p>
            <w:pPr>
              <w:pStyle w:val="Compact"/>
            </w:pPr>
            <w:r>
              <w:rPr>
                <w:b/>
                <w:color w:val="FFFFFF"/>
              </w:rPr>
              <w:t>Direct</w:t>
            </w:r>
          </w:p>
        </w:tc>
        <w:tc>
          <w:tcPr/>
          <w:p>
            <w:pPr>
              <w:pStyle w:val="Compact"/>
            </w:pPr>
            <w:r>
              <w:t xml:space="preserve">Continuous policy + ADM + vulnerability evidence</w:t>
            </w:r>
          </w:p>
        </w:tc>
        <w:tc>
          <w:tcPr/>
          <w:p>
            <w:pPr>
              <w:pStyle w:val="Compact"/>
            </w:pPr>
            <w:r>
              <w:t xml:space="preserve">Annual evidence bundle</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ePHI system inventory</w:t>
            </w:r>
          </w:p>
        </w:tc>
        <w:tc>
          <w:tcPr/>
          <w:p>
            <w:pPr>
              <w:pStyle w:val="Compact"/>
            </w:pPr>
            <w:r>
              <w:t xml:space="preserve">Workloads handling ePHI</w:t>
            </w:r>
          </w:p>
        </w:tc>
        <w:tc>
          <w:tcPr/>
          <w:p>
            <w:pPr>
              <w:pStyle w:val="Compact"/>
            </w:pPr>
            <w:r>
              <w:t xml:space="preserve">Inventory + scope membership export filtered by data_class=ephi</w:t>
            </w:r>
          </w:p>
        </w:tc>
        <w:tc>
          <w:tcPr/>
          <w:p>
            <w:pPr>
              <w:pStyle w:val="Compact"/>
            </w:pPr>
            <w:r>
              <w:t xml:space="preserve">Monthly</w:t>
            </w:r>
          </w:p>
        </w:tc>
      </w:tr>
      <w:tr>
        <w:tc>
          <w:tcPr>
            <w:shd w:val="clear" w:color="auto" w:fill="F2F2F2"/>
          </w:tcPr>
          <w:p>
            <w:pPr>
              <w:pStyle w:val="Compact"/>
            </w:pPr>
            <w:r>
              <w:t xml:space="preserve">Segmentation evidence</w:t>
            </w:r>
          </w:p>
        </w:tc>
        <w:tc>
          <w:tcPr>
            <w:shd w:val="clear" w:color="auto" w:fill="F2F2F2"/>
          </w:tcPr>
          <w:p>
            <w:pPr>
              <w:pStyle w:val="Compact"/>
            </w:pPr>
            <w:r>
              <w:t xml:space="preserve">Workspace snapshot + observed-vs-approved flow comparison</w:t>
            </w:r>
          </w:p>
        </w:tc>
        <w:tc>
          <w:tcPr>
            <w:shd w:val="clear" w:color="auto" w:fill="F2F2F2"/>
          </w:tcPr>
          <w:p>
            <w:pPr>
              <w:pStyle w:val="Compact"/>
            </w:pPr>
            <w:r>
              <w:t xml:space="preserve">Policy workspace export + ADM export</w:t>
            </w:r>
          </w:p>
        </w:tc>
        <w:tc>
          <w:tcPr>
            <w:shd w:val="clear" w:color="auto" w:fill="F2F2F2"/>
          </w:tcPr>
          <w:p>
            <w:pPr>
              <w:pStyle w:val="Compact"/>
            </w:pPr>
            <w:r>
              <w:t xml:space="preserve">Quarterly + after each change</w:t>
            </w:r>
          </w:p>
        </w:tc>
      </w:tr>
      <w:tr>
        <w:tc>
          <w:tcPr/>
          <w:p>
            <w:pPr>
              <w:pStyle w:val="Compact"/>
            </w:pPr>
            <w:r>
              <w:t xml:space="preserve">Technology asset inventory</w:t>
            </w:r>
          </w:p>
        </w:tc>
        <w:tc>
          <w:tcPr/>
          <w:p>
            <w:pPr>
              <w:pStyle w:val="Compact"/>
            </w:pPr>
            <w:r>
              <w:t xml:space="preserve">Workload + software inventory aligned to proposed inventory expansion</w:t>
            </w:r>
          </w:p>
        </w:tc>
        <w:tc>
          <w:tcPr/>
          <w:p>
            <w:pPr>
              <w:pStyle w:val="Compact"/>
            </w:pPr>
            <w:r>
              <w:t xml:space="preserve">Inventory + software/package extract</w:t>
            </w:r>
          </w:p>
        </w:tc>
        <w:tc>
          <w:tcPr/>
          <w:p>
            <w:pPr>
              <w:pStyle w:val="Compact"/>
            </w:pPr>
            <w:r>
              <w:t xml:space="preserve">Monthly</w:t>
            </w:r>
          </w:p>
        </w:tc>
      </w:tr>
      <w:tr>
        <w:tc>
          <w:tcPr>
            <w:shd w:val="clear" w:color="auto" w:fill="F2F2F2"/>
          </w:tcPr>
          <w:p>
            <w:pPr>
              <w:pStyle w:val="Compact"/>
            </w:pPr>
            <w:r>
              <w:t xml:space="preserve">Audit-trail retention</w:t>
            </w:r>
          </w:p>
        </w:tc>
        <w:tc>
          <w:tcPr>
            <w:shd w:val="clear" w:color="auto" w:fill="F2F2F2"/>
          </w:tcPr>
          <w:p>
            <w:pPr>
              <w:pStyle w:val="Compact"/>
            </w:pPr>
            <w:r>
              <w:t xml:space="preserve">Workload flow + process telemetry over the proposed retention window</w:t>
            </w:r>
          </w:p>
        </w:tc>
        <w:tc>
          <w:tcPr>
            <w:shd w:val="clear" w:color="auto" w:fill="F2F2F2"/>
          </w:tcPr>
          <w:p>
            <w:pPr>
              <w:pStyle w:val="Compact"/>
            </w:pPr>
            <w:r>
              <w:t xml:space="preserve">Retained telemetry export with retention attestation</w:t>
            </w:r>
          </w:p>
        </w:tc>
        <w:tc>
          <w:tcPr>
            <w:shd w:val="clear" w:color="auto" w:fill="F2F2F2"/>
          </w:tcPr>
          <w:p>
            <w:pPr>
              <w:pStyle w:val="Compact"/>
            </w:pPr>
            <w:r>
              <w:t xml:space="preserve">Continuous; validated annually</w:t>
            </w:r>
          </w:p>
        </w:tc>
      </w:tr>
      <w:tr>
        <w:tc>
          <w:tcPr/>
          <w:p>
            <w:pPr>
              <w:pStyle w:val="Compact"/>
            </w:pPr>
            <w:r>
              <w:t xml:space="preserve">Vulnerability + reachability</w:t>
            </w:r>
          </w:p>
        </w:tc>
        <w:tc>
          <w:tcPr/>
          <w:p>
            <w:pPr>
              <w:pStyle w:val="Compact"/>
            </w:pPr>
            <w:r>
              <w:t xml:space="preserve">CVE list weighted by reach into ePHI systems</w:t>
            </w:r>
          </w:p>
        </w:tc>
        <w:tc>
          <w:tcPr/>
          <w:p>
            <w:pPr>
              <w:pStyle w:val="Compact"/>
            </w:pPr>
            <w:r>
              <w:t xml:space="preserve">Vulnerability report scoped to HIPAA-2025-NPRM</w:t>
            </w:r>
          </w:p>
        </w:tc>
        <w:tc>
          <w:tcPr/>
          <w:p>
            <w:pPr>
              <w:pStyle w:val="Compact"/>
            </w:pPr>
            <w:r>
              <w:t xml:space="preserve">Monthly</w:t>
            </w:r>
          </w:p>
        </w:tc>
      </w:tr>
      <w:tr>
        <w:tc>
          <w:tcPr>
            <w:shd w:val="clear" w:color="auto" w:fill="F2F2F2"/>
          </w:tcPr>
          <w:p>
            <w:pPr>
              <w:pStyle w:val="Compact"/>
            </w:pPr>
            <w:r>
              <w:t xml:space="preserve">Breach timeline sample</w:t>
            </w:r>
          </w:p>
        </w:tc>
        <w:tc>
          <w:tcPr>
            <w:shd w:val="clear" w:color="auto" w:fill="F2F2F2"/>
          </w:tcPr>
          <w:p>
            <w:pPr>
              <w:pStyle w:val="Compact"/>
            </w:pPr>
            <w:r>
              <w:t xml:space="preserve">Workload-level timeline for one representative incident</w:t>
            </w:r>
          </w:p>
        </w:tc>
        <w:tc>
          <w:tcPr>
            <w:shd w:val="clear" w:color="auto" w:fill="F2F2F2"/>
          </w:tcPr>
          <w:p>
            <w:pPr>
              <w:pStyle w:val="Compact"/>
            </w:pPr>
            <w:r>
              <w:t xml:space="preserve">Flow + process search</w:t>
            </w:r>
          </w:p>
        </w:tc>
        <w:tc>
          <w:tcPr>
            <w:shd w:val="clear" w:color="auto" w:fill="F2F2F2"/>
          </w:tcPr>
          <w:p>
            <w:pPr>
              <w:pStyle w:val="Compact"/>
            </w:pPr>
            <w:r>
              <w:t xml:space="preserve">Per breach</w:t>
            </w:r>
          </w:p>
        </w:tc>
      </w:tr>
      <w:tr>
        <w:tc>
          <w:tcPr/>
          <w:p>
            <w:pPr>
              <w:pStyle w:val="Compact"/>
            </w:pPr>
            <w:r>
              <w:t xml:space="preserve">Annual technical assessment pack</w:t>
            </w:r>
          </w:p>
        </w:tc>
        <w:tc>
          <w:tcPr/>
          <w:p>
            <w:pPr>
              <w:pStyle w:val="Compact"/>
            </w:pPr>
            <w:r>
              <w:t xml:space="preserve">Aggregated annual evidence bundle</w:t>
            </w:r>
          </w:p>
        </w:tc>
        <w:tc>
          <w:tcPr/>
          <w:p>
            <w:pPr>
              <w:pStyle w:val="Compact"/>
            </w:pPr>
            <w:r>
              <w:t xml:space="preserve">Inventory + workspace + ADM + vulnerability + incident-sample extracts</w:t>
            </w:r>
          </w:p>
        </w:tc>
        <w:tc>
          <w:tcPr/>
          <w:p>
            <w:pPr>
              <w:pStyle w:val="Compact"/>
            </w:pPr>
            <w:r>
              <w:t xml:space="preserve">Annually</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This mapping reflects a PROPOSED rule and must be revalidated against the final rule. CSW does not replace legal analysis, HIPAA policies, the risk analysis itself, BAA management, identity / authentication, encryption enforcement, breach-notification decisions, or OCR enforcement engagement.</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HIPAA 2025 NPRM Compliance Report</dc:title>
  <dc:creator/>
  <cp:keywords/>
  <dcterms:created xsi:type="dcterms:W3CDTF">2026-10-05T22:26:06Z</dcterms:created>
  <dcterms:modified xsi:type="dcterms:W3CDTF">2026-10-05T22:26:06Z</dcterms:modified>
</cp:coreProperties>
</file>

<file path=docProps/custom.xml><?xml version="1.0" encoding="utf-8"?>
<Properties xmlns="http://schemas.openxmlformats.org/officeDocument/2006/custom-properties" xmlns:vt="http://schemas.openxmlformats.org/officeDocument/2006/docPropsVTypes"/>
</file>