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HITRUST CSF Compliance Report</w:t>
      </w:r>
    </w:p>
    <w:bookmarkStart w:id="23" w:name="X0e521d497ed4757e8491af07daa18ecfdd2bd91"/>
    <w:p>
      <w:pPr>
        <w:pStyle w:val="Heading1"/>
      </w:pPr>
      <w:r>
        <w:t xml:space="preserve">Cisco Secure Workload - HITRUST CSF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HITRUST CSF v11</w:t>
      </w:r>
      <w:r>
        <w:br/>
      </w:r>
      <w:r>
        <w:rPr>
          <w:b/>
          <w:bCs/>
        </w:rPr>
        <w:t xml:space="preserve">Primary audience:</w:t>
      </w:r>
      <w:r>
        <w:t xml:space="preserve"> </w:t>
      </w:r>
      <w:r>
        <w:t xml:space="preserve">Healthcare covered entities, payers, providers, life-sciences organisations, and service providers preparing for or maintaining HITRUST CSF certification.</w:t>
      </w:r>
      <w:r>
        <w:br/>
      </w:r>
      <w:r>
        <w:rPr>
          <w:b/>
          <w:bCs/>
        </w:rPr>
        <w:t xml:space="preserve">CSW positioning:</w:t>
      </w:r>
      <w:r>
        <w:t xml:space="preserve"> </w:t>
      </w:r>
      <w:r>
        <w:t xml:space="preserve">Network segregation, vulnerability management with reachability, monitoring, and incident response evidence harmonised against the HIPAA / ISO 27001 / NIST 800-53 / PCI authoritative sources HITRUST CSF integrates.</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References HITRUST CSF v11. HITRUST evolves the CSF periodically; assessment levels (e1, i1, r2) have different evidence requirements. Validate the version, assessment level, and authoritative-source mappings against the customer’s HITRUST authoritative-sources list.</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CSW-HITRUST-Technical-Runbook.md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HITRUST-CSF</w:t>
      </w:r>
      <w:r>
        <w:br/>
      </w:r>
      <w:r>
        <w:rPr>
          <w:rStyle w:val="VerbatimChar"/>
        </w:rPr>
        <w:t xml:space="preserve">├── Regulated-Data-Systems (ePHI, PCI-CDE if applicable, PII)</w:t>
      </w:r>
      <w:r>
        <w:br/>
      </w:r>
      <w:r>
        <w:rPr>
          <w:rStyle w:val="VerbatimChar"/>
        </w:rPr>
        <w:t xml:space="preserve">├── Network-Segmentation-Boundary</w:t>
      </w:r>
      <w:r>
        <w:br/>
      </w:r>
      <w:r>
        <w:rPr>
          <w:rStyle w:val="VerbatimChar"/>
        </w:rPr>
        <w:t xml:space="preserve">├── Vulnerability-Management-Scope</w:t>
      </w:r>
      <w:r>
        <w:br/>
      </w:r>
      <w:r>
        <w:rPr>
          <w:rStyle w:val="VerbatimChar"/>
        </w:rPr>
        <w:t xml:space="preserve">├── Incident-Evidence</w:t>
      </w:r>
      <w:r>
        <w:br/>
      </w:r>
      <w:r>
        <w:rPr>
          <w:rStyle w:val="VerbatimChar"/>
        </w:rPr>
        <w:t xml:space="preserve">└── Third-Party-Egress</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Network Protection / Segregation (HITRUST 09.m / 09.s; HIPAA Security Rule technical safeguards; ISO 27001 A.13; 800-53 SC-7 / AC-4)</w:t>
      </w:r>
    </w:p>
    <w:p>
      <w:pPr>
        <w:pStyle w:val="Compact"/>
        <w:numPr>
          <w:ilvl w:val="0"/>
          <w:numId w:val="1001"/>
        </w:numPr>
      </w:pPr>
      <w:r>
        <w:t xml:space="preserve">Vulnerability Management (HITRUST 06; 800-53 RA-5 / SI-2)</w:t>
      </w:r>
    </w:p>
    <w:p>
      <w:pPr>
        <w:pStyle w:val="Compact"/>
        <w:numPr>
          <w:ilvl w:val="0"/>
          <w:numId w:val="1001"/>
        </w:numPr>
      </w:pPr>
      <w:r>
        <w:t xml:space="preserve">Monitoring (HITRUST 09; 800-53 SI-4 / AU family)</w:t>
      </w:r>
    </w:p>
    <w:p>
      <w:pPr>
        <w:pStyle w:val="Compact"/>
        <w:numPr>
          <w:ilvl w:val="0"/>
          <w:numId w:val="1001"/>
        </w:numPr>
      </w:pPr>
      <w:r>
        <w:t xml:space="preserve">Incident Response (HITRUST 11; 800-53 IR family)</w:t>
      </w:r>
    </w:p>
    <w:p>
      <w:pPr>
        <w:pStyle w:val="Compact"/>
        <w:numPr>
          <w:ilvl w:val="0"/>
          <w:numId w:val="1001"/>
        </w:numPr>
      </w:pPr>
      <w:r>
        <w:t xml:space="preserve">Third-party / business-associate egress (HIPAA business-associate context)</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Organisational policy, training, and governance domains</w:t>
      </w:r>
    </w:p>
    <w:p>
      <w:pPr>
        <w:pStyle w:val="Compact"/>
        <w:numPr>
          <w:ilvl w:val="0"/>
          <w:numId w:val="1002"/>
        </w:numPr>
      </w:pPr>
      <w:r>
        <w:t xml:space="preserve">Physical and environmental controls</w:t>
      </w:r>
    </w:p>
    <w:p>
      <w:pPr>
        <w:pStyle w:val="Compact"/>
        <w:numPr>
          <w:ilvl w:val="0"/>
          <w:numId w:val="1002"/>
        </w:numPr>
      </w:pPr>
      <w:r>
        <w:t xml:space="preserve">Identity lifecycle and access management beyond workload-to-workload</w:t>
      </w:r>
    </w:p>
    <w:p>
      <w:pPr>
        <w:pStyle w:val="Compact"/>
        <w:numPr>
          <w:ilvl w:val="0"/>
          <w:numId w:val="1002"/>
        </w:numPr>
      </w:pPr>
      <w:r>
        <w:t xml:space="preserve">Cryptography enforcement</w:t>
      </w:r>
    </w:p>
    <w:p>
      <w:pPr>
        <w:pStyle w:val="Compact"/>
        <w:numPr>
          <w:ilvl w:val="0"/>
          <w:numId w:val="1002"/>
        </w:numPr>
      </w:pPr>
      <w:r>
        <w:t xml:space="preserve">Business continuity testing</w:t>
      </w:r>
    </w:p>
    <w:p>
      <w:pPr>
        <w:pStyle w:val="Compact"/>
        <w:numPr>
          <w:ilvl w:val="0"/>
          <w:numId w:val="1002"/>
        </w:numPr>
      </w:pPr>
      <w:r>
        <w:t xml:space="preserve">HITRUST assessor scoring and certification decisions</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Network segregation</w:t>
            </w:r>
          </w:p>
        </w:tc>
        <w:tc>
          <w:tcPr>
            <w:shd w:val="clear" w:color="auto" w:fill="107C41"/>
          </w:tcPr>
          <w:p>
            <w:pPr>
              <w:pStyle w:val="Compact"/>
            </w:pPr>
            <w:r>
              <w:rPr>
                <w:b/>
                <w:color w:val="FFFFFF"/>
              </w:rPr>
              <w:t>Direct</w:t>
            </w:r>
          </w:p>
        </w:tc>
        <w:tc>
          <w:tcPr/>
          <w:p>
            <w:pPr>
              <w:pStyle w:val="Compact"/>
            </w:pPr>
            <w:r>
              <w:t xml:space="preserve">Policy workspace + workload-to-workload allowlist</w:t>
            </w:r>
          </w:p>
        </w:tc>
        <w:tc>
          <w:tcPr/>
          <w:p>
            <w:pPr>
              <w:pStyle w:val="Compact"/>
            </w:pPr>
            <w:r>
              <w:t xml:space="preserve">Workspace snapshot + observed-vs-approved flow comparison</w:t>
            </w:r>
          </w:p>
        </w:tc>
      </w:tr>
      <w:tr>
        <w:tc>
          <w:tcPr>
            <w:shd w:val="clear" w:color="auto" w:fill="F2F2F2"/>
          </w:tcPr>
          <w:p>
            <w:pPr>
              <w:pStyle w:val="Compact"/>
            </w:pPr>
            <w:r>
              <w:t xml:space="preserve">Vulnerability management</w:t>
            </w:r>
          </w:p>
        </w:tc>
        <w:tc>
          <w:tcPr>
            <w:shd w:val="clear" w:color="auto" w:fill="107C41"/>
          </w:tcPr>
          <w:p>
            <w:pPr>
              <w:pStyle w:val="Compact"/>
            </w:pPr>
            <w:r>
              <w:rPr>
                <w:b/>
                <w:color w:val="FFFFFF"/>
              </w:rPr>
              <w:t>Direct</w:t>
            </w:r>
          </w:p>
        </w:tc>
        <w:tc>
          <w:tcPr>
            <w:shd w:val="clear" w:color="auto" w:fill="F2F2F2"/>
          </w:tcPr>
          <w:p>
            <w:pPr>
              <w:pStyle w:val="Compact"/>
            </w:pPr>
            <w:r>
              <w:t xml:space="preserve">Reachability-weighted CVE on regulated workloads</w:t>
            </w:r>
          </w:p>
        </w:tc>
        <w:tc>
          <w:tcPr>
            <w:shd w:val="clear" w:color="auto" w:fill="F2F2F2"/>
          </w:tcPr>
          <w:p>
            <w:pPr>
              <w:pStyle w:val="Compact"/>
            </w:pPr>
            <w:r>
              <w:t xml:space="preserve">Prioritised remediation list with compensating-control register</w:t>
            </w:r>
          </w:p>
        </w:tc>
      </w:tr>
      <w:tr>
        <w:tc>
          <w:tcPr/>
          <w:p>
            <w:pPr>
              <w:pStyle w:val="Compact"/>
            </w:pPr>
            <w:r>
              <w:t xml:space="preserve">Monitoring</w:t>
            </w:r>
          </w:p>
        </w:tc>
        <w:tc>
          <w:tcPr>
            <w:shd w:val="clear" w:color="auto" w:fill="107C41"/>
          </w:tcPr>
          <w:p>
            <w:pPr>
              <w:pStyle w:val="Compact"/>
            </w:pPr>
            <w:r>
              <w:rPr>
                <w:b/>
                <w:color w:val="FFFFFF"/>
              </w:rPr>
              <w:t>Direct</w:t>
            </w:r>
          </w:p>
        </w:tc>
        <w:tc>
          <w:tcPr/>
          <w:p>
            <w:pPr>
              <w:pStyle w:val="Compact"/>
            </w:pPr>
            <w:r>
              <w:t xml:space="preserve">Continuous flow + process telemetry; alerts</w:t>
            </w:r>
          </w:p>
        </w:tc>
        <w:tc>
          <w:tcPr/>
          <w:p>
            <w:pPr>
              <w:pStyle w:val="Compact"/>
            </w:pPr>
            <w:r>
              <w:t xml:space="preserve">Alert and anomaly log scoped to HITRUST-CSF</w:t>
            </w:r>
          </w:p>
        </w:tc>
      </w:tr>
      <w:tr>
        <w:tc>
          <w:tcPr>
            <w:shd w:val="clear" w:color="auto" w:fill="F2F2F2"/>
          </w:tcPr>
          <w:p>
            <w:pPr>
              <w:pStyle w:val="Compact"/>
            </w:pPr>
            <w:r>
              <w:t xml:space="preserve">Incident response</w:t>
            </w:r>
          </w:p>
        </w:tc>
        <w:tc>
          <w:tcPr>
            <w:shd w:val="clear" w:color="auto" w:fill="107C41"/>
          </w:tcPr>
          <w:p>
            <w:pPr>
              <w:pStyle w:val="Compact"/>
            </w:pPr>
            <w:r>
              <w:rPr>
                <w:b/>
                <w:color w:val="FFFFFF"/>
              </w:rPr>
              <w:t>Direct</w:t>
            </w:r>
          </w:p>
        </w:tc>
        <w:tc>
          <w:tcPr>
            <w:shd w:val="clear" w:color="auto" w:fill="F2F2F2"/>
          </w:tcPr>
          <w:p>
            <w:pPr>
              <w:pStyle w:val="Compact"/>
            </w:pPr>
            <w:r>
              <w:t xml:space="preserve">Forensic flow + process search across the incident window</w:t>
            </w:r>
          </w:p>
        </w:tc>
        <w:tc>
          <w:tcPr>
            <w:shd w:val="clear" w:color="auto" w:fill="F2F2F2"/>
          </w:tcPr>
          <w:p>
            <w:pPr>
              <w:pStyle w:val="Compact"/>
            </w:pPr>
            <w:r>
              <w:t xml:space="preserve">Investigation pack with timeline and impact scope</w:t>
            </w:r>
          </w:p>
        </w:tc>
      </w:tr>
      <w:tr>
        <w:tc>
          <w:tcPr/>
          <w:p>
            <w:pPr>
              <w:pStyle w:val="Compact"/>
            </w:pPr>
            <w:r>
              <w:t xml:space="preserve">Business-associate / third-party egress</w:t>
            </w:r>
          </w:p>
        </w:tc>
        <w:tc>
          <w:tcPr>
            <w:shd w:val="clear" w:color="auto" w:fill="107C41"/>
          </w:tcPr>
          <w:p>
            <w:pPr>
              <w:pStyle w:val="Compact"/>
            </w:pPr>
            <w:r>
              <w:rPr>
                <w:b/>
                <w:color w:val="FFFFFF"/>
              </w:rPr>
              <w:t>Direct</w:t>
            </w:r>
          </w:p>
        </w:tc>
        <w:tc>
          <w:tcPr/>
          <w:p>
            <w:pPr>
              <w:pStyle w:val="Compact"/>
            </w:pPr>
            <w:r>
              <w:t xml:space="preserve">Outbound flow summary to BA / vendor endpoints</w:t>
            </w:r>
          </w:p>
        </w:tc>
        <w:tc>
          <w:tcPr/>
          <w:p>
            <w:pPr>
              <w:pStyle w:val="Compact"/>
            </w:pPr>
            <w:r>
              <w:t xml:space="preserve">BA-edge flow report</w:t>
            </w:r>
          </w:p>
        </w:tc>
      </w:tr>
      <w:tr>
        <w:tc>
          <w:tcPr>
            <w:shd w:val="clear" w:color="auto" w:fill="F2F2F2"/>
          </w:tcPr>
          <w:p>
            <w:pPr>
              <w:pStyle w:val="Compact"/>
            </w:pPr>
            <w:r>
              <w:t xml:space="preserve">Audit support</w:t>
            </w:r>
          </w:p>
        </w:tc>
        <w:tc>
          <w:tcPr>
            <w:shd w:val="clear" w:color="auto" w:fill="107C41"/>
          </w:tcPr>
          <w:p>
            <w:pPr>
              <w:pStyle w:val="Compact"/>
            </w:pPr>
            <w:r>
              <w:rPr>
                <w:b/>
                <w:color w:val="FFFFFF"/>
              </w:rPr>
              <w:t>Direct</w:t>
            </w:r>
          </w:p>
        </w:tc>
        <w:tc>
          <w:tcPr>
            <w:shd w:val="clear" w:color="auto" w:fill="F2F2F2"/>
          </w:tcPr>
          <w:p>
            <w:pPr>
              <w:pStyle w:val="Compact"/>
            </w:pPr>
            <w:r>
              <w:t xml:space="preserve">Periodic evidence pack</w:t>
            </w:r>
          </w:p>
        </w:tc>
        <w:tc>
          <w:tcPr>
            <w:shd w:val="clear" w:color="auto" w:fill="F2F2F2"/>
          </w:tcPr>
          <w:p>
            <w:pPr>
              <w:pStyle w:val="Compact"/>
            </w:pPr>
            <w:r>
              <w:t xml:space="preserve">Quarterly evidence bundle aligned to HITRUST authoritative-source mappings</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Regulated-data system inventory</w:t>
            </w:r>
          </w:p>
        </w:tc>
        <w:tc>
          <w:tcPr/>
          <w:p>
            <w:pPr>
              <w:pStyle w:val="Compact"/>
            </w:pPr>
            <w:r>
              <w:t xml:space="preserve">Workloads with ePHI / PCI / PII labels</w:t>
            </w:r>
          </w:p>
        </w:tc>
        <w:tc>
          <w:tcPr/>
          <w:p>
            <w:pPr>
              <w:pStyle w:val="Compact"/>
            </w:pPr>
            <w:r>
              <w:t xml:space="preserve">Inventory + scope membership export</w:t>
            </w:r>
          </w:p>
        </w:tc>
        <w:tc>
          <w:tcPr/>
          <w:p>
            <w:pPr>
              <w:pStyle w:val="Compact"/>
            </w:pPr>
            <w:r>
              <w:t xml:space="preserve">Monthly</w:t>
            </w:r>
          </w:p>
        </w:tc>
      </w:tr>
      <w:tr>
        <w:tc>
          <w:tcPr>
            <w:shd w:val="clear" w:color="auto" w:fill="F2F2F2"/>
          </w:tcPr>
          <w:p>
            <w:pPr>
              <w:pStyle w:val="Compact"/>
            </w:pPr>
            <w:r>
              <w:t xml:space="preserve">Segmentation evidence</w:t>
            </w:r>
          </w:p>
        </w:tc>
        <w:tc>
          <w:tcPr>
            <w:shd w:val="clear" w:color="auto" w:fill="F2F2F2"/>
          </w:tcPr>
          <w:p>
            <w:pPr>
              <w:pStyle w:val="Compact"/>
            </w:pPr>
            <w:r>
              <w:t xml:space="preserve">Workspace snapshot + observed-vs-approved flow comparison</w:t>
            </w:r>
          </w:p>
        </w:tc>
        <w:tc>
          <w:tcPr>
            <w:shd w:val="clear" w:color="auto" w:fill="F2F2F2"/>
          </w:tcPr>
          <w:p>
            <w:pPr>
              <w:pStyle w:val="Compact"/>
            </w:pPr>
            <w:r>
              <w:t xml:space="preserve">Policy workspace export + ADM export</w:t>
            </w:r>
          </w:p>
        </w:tc>
        <w:tc>
          <w:tcPr>
            <w:shd w:val="clear" w:color="auto" w:fill="F2F2F2"/>
          </w:tcPr>
          <w:p>
            <w:pPr>
              <w:pStyle w:val="Compact"/>
            </w:pPr>
            <w:r>
              <w:t xml:space="preserve">Quarterly + after each change</w:t>
            </w:r>
          </w:p>
        </w:tc>
      </w:tr>
      <w:tr>
        <w:tc>
          <w:tcPr/>
          <w:p>
            <w:pPr>
              <w:pStyle w:val="Compact"/>
            </w:pPr>
            <w:r>
              <w:t xml:space="preserve">Vulnerability + reachability</w:t>
            </w:r>
          </w:p>
        </w:tc>
        <w:tc>
          <w:tcPr/>
          <w:p>
            <w:pPr>
              <w:pStyle w:val="Compact"/>
            </w:pPr>
            <w:r>
              <w:t xml:space="preserve">CVE list weighted by reach into regulated-data systems</w:t>
            </w:r>
          </w:p>
        </w:tc>
        <w:tc>
          <w:tcPr/>
          <w:p>
            <w:pPr>
              <w:pStyle w:val="Compact"/>
            </w:pPr>
            <w:r>
              <w:t xml:space="preserve">Vulnerability report scoped to HITRUST-CSF</w:t>
            </w:r>
          </w:p>
        </w:tc>
        <w:tc>
          <w:tcPr/>
          <w:p>
            <w:pPr>
              <w:pStyle w:val="Compact"/>
            </w:pPr>
            <w:r>
              <w:t xml:space="preserve">Monthly</w:t>
            </w:r>
          </w:p>
        </w:tc>
      </w:tr>
      <w:tr>
        <w:tc>
          <w:tcPr>
            <w:shd w:val="clear" w:color="auto" w:fill="F2F2F2"/>
          </w:tcPr>
          <w:p>
            <w:pPr>
              <w:pStyle w:val="Compact"/>
            </w:pPr>
            <w:r>
              <w:t xml:space="preserve">Third-party egress reconciliation</w:t>
            </w:r>
          </w:p>
        </w:tc>
        <w:tc>
          <w:tcPr>
            <w:shd w:val="clear" w:color="auto" w:fill="F2F2F2"/>
          </w:tcPr>
          <w:p>
            <w:pPr>
              <w:pStyle w:val="Compact"/>
            </w:pPr>
            <w:r>
              <w:t xml:space="preserve">Outbound flow to BA / vendor endpoints</w:t>
            </w:r>
          </w:p>
        </w:tc>
        <w:tc>
          <w:tcPr>
            <w:shd w:val="clear" w:color="auto" w:fill="F2F2F2"/>
          </w:tcPr>
          <w:p>
            <w:pPr>
              <w:pStyle w:val="Compact"/>
            </w:pPr>
            <w:r>
              <w:t xml:space="preserve">Flow search filtered to BA / vendor endpoints</w:t>
            </w:r>
          </w:p>
        </w:tc>
        <w:tc>
          <w:tcPr>
            <w:shd w:val="clear" w:color="auto" w:fill="F2F2F2"/>
          </w:tcPr>
          <w:p>
            <w:pPr>
              <w:pStyle w:val="Compact"/>
            </w:pPr>
            <w:r>
              <w:t xml:space="preserve">Monthly</w:t>
            </w:r>
          </w:p>
        </w:tc>
      </w:tr>
      <w:tr>
        <w:tc>
          <w:tcPr/>
          <w:p>
            <w:pPr>
              <w:pStyle w:val="Compact"/>
            </w:pPr>
            <w:r>
              <w:t xml:space="preserve">Incident timeline sample</w:t>
            </w:r>
          </w:p>
        </w:tc>
        <w:tc>
          <w:tcPr/>
          <w:p>
            <w:pPr>
              <w:pStyle w:val="Compact"/>
            </w:pPr>
            <w:r>
              <w:t xml:space="preserve">One representative incident</w:t>
            </w:r>
          </w:p>
        </w:tc>
        <w:tc>
          <w:tcPr/>
          <w:p>
            <w:pPr>
              <w:pStyle w:val="Compact"/>
            </w:pPr>
            <w:r>
              <w:t xml:space="preserve">Flow + process search</w:t>
            </w:r>
          </w:p>
        </w:tc>
        <w:tc>
          <w:tcPr/>
          <w:p>
            <w:pPr>
              <w:pStyle w:val="Compact"/>
            </w:pPr>
            <w:r>
              <w:t xml:space="preserve">Per incident</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replace HITRUST authoritative-source policy, training, governance, the HITRUST assessor’s scoring, identity lifecycle, encryption, physical and environmental controls, or HITRUST certification submission.</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HITRUST CSF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