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MAS TRM Compliance Report</w:t>
      </w:r>
    </w:p>
    <w:bookmarkStart w:id="23" w:name="X70c65b2032de2123c4fb136120b33c6a459e70c"/>
    <w:p>
      <w:pPr>
        <w:pStyle w:val="Heading1"/>
      </w:pPr>
      <w:r>
        <w:t xml:space="preserve">Cisco Secure Workload - MAS TRM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Monetary Authority of Singapore (MAS) Technology Risk Management Guidelines</w:t>
      </w:r>
      <w:r>
        <w:br/>
      </w:r>
      <w:r>
        <w:rPr>
          <w:b/>
          <w:bCs/>
        </w:rPr>
        <w:t xml:space="preserve">Primary audience:</w:t>
      </w:r>
      <w:r>
        <w:t xml:space="preserve"> </w:t>
      </w:r>
      <w:r>
        <w:t xml:space="preserve">Singapore-licensed financial institutions (banks, finance companies, insurers, capital markets services licensees, payment services licensees) using MAS TRM as the technology risk baseline.</w:t>
      </w:r>
      <w:r>
        <w:br/>
      </w:r>
      <w:r>
        <w:rPr>
          <w:b/>
          <w:bCs/>
        </w:rPr>
        <w:t xml:space="preserve">CSW positioning:</w:t>
      </w:r>
      <w:r>
        <w:t xml:space="preserve"> </w:t>
      </w:r>
      <w:r>
        <w:t xml:space="preserve">Critical-system segmentation, technology-asset evidence, outsourcing visibility, vulnerability context, monitoring, and incident scoping.</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the MAS TRM Guidelines published January 2021 (current published version at the time of writing). Validate against the latest MAS publication before use in a supervisory or audit context.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CSW-MAS-TRM-Technical-Runbook.md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MAS-TRM</w:t>
      </w:r>
      <w:r>
        <w:br/>
      </w:r>
      <w:r>
        <w:rPr>
          <w:rStyle w:val="VerbatimChar"/>
        </w:rPr>
        <w:t xml:space="preserve">├── Critical-Systems (Digital-Banking, Payments, Trading, Core-Platforms)</w:t>
      </w:r>
      <w:r>
        <w:br/>
      </w:r>
      <w:r>
        <w:rPr>
          <w:rStyle w:val="VerbatimChar"/>
        </w:rPr>
        <w:t xml:space="preserve">├── Customer-Data (Data-Stores, Analytics)</w:t>
      </w:r>
      <w:r>
        <w:br/>
      </w:r>
      <w:r>
        <w:rPr>
          <w:rStyle w:val="VerbatimChar"/>
        </w:rPr>
        <w:t xml:space="preserve">├── Security-Services (Identity-Adjacent, Monitoring, Patch-Management)</w:t>
      </w:r>
      <w:r>
        <w:br/>
      </w:r>
      <w:r>
        <w:rPr>
          <w:rStyle w:val="VerbatimChar"/>
        </w:rPr>
        <w:t xml:space="preserve">└── Outsourced-Third-Parties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Technology Risk Management Framework (asset inventory, classification)</w:t>
      </w:r>
    </w:p>
    <w:p>
      <w:pPr>
        <w:pStyle w:val="Compact"/>
        <w:numPr>
          <w:ilvl w:val="0"/>
          <w:numId w:val="1001"/>
        </w:numPr>
      </w:pPr>
      <w:r>
        <w:t xml:space="preserve">Access Control (workload-to-workload allowlist)</w:t>
      </w:r>
    </w:p>
    <w:p>
      <w:pPr>
        <w:pStyle w:val="Compact"/>
        <w:numPr>
          <w:ilvl w:val="0"/>
          <w:numId w:val="1001"/>
        </w:numPr>
      </w:pPr>
      <w:r>
        <w:t xml:space="preserve">Data and Infrastructure Security (segmentation, plaintext-flow detection)</w:t>
      </w:r>
    </w:p>
    <w:p>
      <w:pPr>
        <w:pStyle w:val="Compact"/>
        <w:numPr>
          <w:ilvl w:val="0"/>
          <w:numId w:val="1001"/>
        </w:numPr>
      </w:pPr>
      <w:r>
        <w:t xml:space="preserve">Cyber Security Operations (telemetry, alerts, forensic search)</w:t>
      </w:r>
    </w:p>
    <w:p>
      <w:pPr>
        <w:pStyle w:val="Compact"/>
        <w:numPr>
          <w:ilvl w:val="0"/>
          <w:numId w:val="1001"/>
        </w:numPr>
      </w:pPr>
      <w:r>
        <w:t xml:space="preserve">Cyber Security Assessment (CVE + reachability)</w:t>
      </w:r>
    </w:p>
    <w:p>
      <w:pPr>
        <w:pStyle w:val="Compact"/>
        <w:numPr>
          <w:ilvl w:val="0"/>
          <w:numId w:val="1001"/>
        </w:numPr>
      </w:pPr>
      <w:r>
        <w:t xml:space="preserve">Management of IT Services / Outsourcing (third-party egress visibility)</w:t>
      </w:r>
    </w:p>
    <w:p>
      <w:pPr>
        <w:pStyle w:val="Compact"/>
        <w:numPr>
          <w:ilvl w:val="0"/>
          <w:numId w:val="1001"/>
        </w:numPr>
      </w:pPr>
      <w:r>
        <w:t xml:space="preserve">IT Audit (evidence pack inputs)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Governance and board oversight</w:t>
      </w:r>
    </w:p>
    <w:p>
      <w:pPr>
        <w:pStyle w:val="Compact"/>
        <w:numPr>
          <w:ilvl w:val="0"/>
          <w:numId w:val="1002"/>
        </w:numPr>
      </w:pPr>
      <w:r>
        <w:t xml:space="preserve">Cryptography module assurance</w:t>
      </w:r>
    </w:p>
    <w:p>
      <w:pPr>
        <w:pStyle w:val="Compact"/>
        <w:numPr>
          <w:ilvl w:val="0"/>
          <w:numId w:val="1002"/>
        </w:numPr>
      </w:pPr>
      <w:r>
        <w:t xml:space="preserve">Identity / privileged-access lifecycle</w:t>
      </w:r>
    </w:p>
    <w:p>
      <w:pPr>
        <w:pStyle w:val="Compact"/>
        <w:numPr>
          <w:ilvl w:val="0"/>
          <w:numId w:val="1002"/>
        </w:numPr>
      </w:pPr>
      <w:r>
        <w:t xml:space="preserve">Business continuity / disaster recovery testing</w:t>
      </w:r>
    </w:p>
    <w:p>
      <w:pPr>
        <w:pStyle w:val="Compact"/>
        <w:numPr>
          <w:ilvl w:val="0"/>
          <w:numId w:val="1002"/>
        </w:numPr>
      </w:pPr>
      <w:r>
        <w:t xml:space="preserve">Outsourcing due diligence and supplier assurance contracts</w:t>
      </w:r>
    </w:p>
    <w:p>
      <w:pPr>
        <w:pStyle w:val="Compact"/>
        <w:numPr>
          <w:ilvl w:val="0"/>
          <w:numId w:val="1002"/>
        </w:numPr>
      </w:pPr>
      <w:r>
        <w:t xml:space="preserve">MAS reporting / notification decisions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Technology asset inventory</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export reconciled to institution CMDB</w:t>
            </w:r>
          </w:p>
        </w:tc>
      </w:tr>
      <w:tr>
        <w:tc>
          <w:tcPr>
            <w:shd w:val="clear" w:color="auto" w:fill="F2F2F2"/>
          </w:tcPr>
          <w:p>
            <w:pPr>
              <w:pStyle w:val="Compact"/>
            </w:pPr>
            <w:r>
              <w:t xml:space="preserve">Information security risk assessment</w:t>
            </w:r>
          </w:p>
        </w:tc>
        <w:tc>
          <w:tcPr>
            <w:shd w:val="clear" w:color="auto" w:fill="107C41"/>
          </w:tcPr>
          <w:p>
            <w:pPr>
              <w:pStyle w:val="Compact"/>
            </w:pPr>
            <w:r>
              <w:rPr>
                <w:b/>
                <w:color w:val="FFFFFF"/>
              </w:rPr>
              <w:t>Direct</w:t>
            </w:r>
          </w:p>
        </w:tc>
        <w:tc>
          <w:tcPr>
            <w:shd w:val="clear" w:color="auto" w:fill="F2F2F2"/>
          </w:tcPr>
          <w:p>
            <w:pPr>
              <w:pStyle w:val="Compact"/>
            </w:pPr>
            <w:r>
              <w:t xml:space="preserve">Vulnerability + reachability report</w:t>
            </w:r>
          </w:p>
        </w:tc>
        <w:tc>
          <w:tcPr>
            <w:shd w:val="clear" w:color="auto" w:fill="F2F2F2"/>
          </w:tcPr>
          <w:p>
            <w:pPr>
              <w:pStyle w:val="Compact"/>
            </w:pPr>
            <w:r>
              <w:t xml:space="preserve">Reachability-weighted exposure summary scoped to MAS-TRM</w:t>
            </w:r>
          </w:p>
        </w:tc>
      </w:tr>
      <w:tr>
        <w:tc>
          <w:tcPr/>
          <w:p>
            <w:pPr>
              <w:pStyle w:val="Compact"/>
            </w:pPr>
            <w:r>
              <w:t xml:space="preserve">Access control (network access layer)</w:t>
            </w:r>
          </w:p>
        </w:tc>
        <w:tc>
          <w:tcPr>
            <w:shd w:val="clear" w:color="auto" w:fill="107C41"/>
          </w:tcPr>
          <w:p>
            <w:pPr>
              <w:pStyle w:val="Compact"/>
            </w:pPr>
            <w:r>
              <w:rPr>
                <w:b/>
                <w:color w:val="FFFFFF"/>
              </w:rPr>
              <w:t>Direct</w:t>
            </w:r>
          </w:p>
        </w:tc>
        <w:tc>
          <w:tcPr/>
          <w:p>
            <w:pPr>
              <w:pStyle w:val="Compact"/>
            </w:pPr>
            <w:r>
              <w:t xml:space="preserve">Policy workspace + enforcement log</w:t>
            </w:r>
          </w:p>
        </w:tc>
        <w:tc>
          <w:tcPr/>
          <w:p>
            <w:pPr>
              <w:pStyle w:val="Compact"/>
            </w:pPr>
            <w:r>
              <w:t xml:space="preserve">Workspace snapshot and violation/exception register</w:t>
            </w:r>
          </w:p>
        </w:tc>
      </w:tr>
      <w:tr>
        <w:tc>
          <w:tcPr>
            <w:shd w:val="clear" w:color="auto" w:fill="F2F2F2"/>
          </w:tcPr>
          <w:p>
            <w:pPr>
              <w:pStyle w:val="Compact"/>
            </w:pPr>
            <w:r>
              <w:t xml:space="preserve">Data security</w:t>
            </w:r>
          </w:p>
        </w:tc>
        <w:tc>
          <w:tcPr>
            <w:shd w:val="clear" w:color="auto" w:fill="107C41"/>
          </w:tcPr>
          <w:p>
            <w:pPr>
              <w:pStyle w:val="Compact"/>
            </w:pPr>
            <w:r>
              <w:rPr>
                <w:b/>
                <w:color w:val="FFFFFF"/>
              </w:rPr>
              <w:t>Direct</w:t>
            </w:r>
          </w:p>
        </w:tc>
        <w:tc>
          <w:tcPr>
            <w:shd w:val="clear" w:color="auto" w:fill="F2F2F2"/>
          </w:tcPr>
          <w:p>
            <w:pPr>
              <w:pStyle w:val="Compact"/>
            </w:pPr>
            <w:r>
              <w:t xml:space="preserve">Plaintext-flow detection from observed flows</w:t>
            </w:r>
          </w:p>
        </w:tc>
        <w:tc>
          <w:tcPr>
            <w:shd w:val="clear" w:color="auto" w:fill="F2F2F2"/>
          </w:tcPr>
          <w:p>
            <w:pPr>
              <w:pStyle w:val="Compact"/>
            </w:pPr>
            <w:r>
              <w:t xml:space="preserve">List of unencrypted flows on customer-data paths</w:t>
            </w:r>
          </w:p>
        </w:tc>
      </w:tr>
      <w:tr>
        <w:tc>
          <w:tcPr/>
          <w:p>
            <w:pPr>
              <w:pStyle w:val="Compact"/>
            </w:pPr>
            <w:r>
              <w:t xml:space="preserve">Vulnerability management</w:t>
            </w:r>
          </w:p>
        </w:tc>
        <w:tc>
          <w:tcPr>
            <w:shd w:val="clear" w:color="auto" w:fill="107C41"/>
          </w:tcPr>
          <w:p>
            <w:pPr>
              <w:pStyle w:val="Compact"/>
            </w:pPr>
            <w:r>
              <w:rPr>
                <w:b/>
                <w:color w:val="FFFFFF"/>
              </w:rPr>
              <w:t>Direct</w:t>
            </w:r>
          </w:p>
        </w:tc>
        <w:tc>
          <w:tcPr/>
          <w:p>
            <w:pPr>
              <w:pStyle w:val="Compact"/>
            </w:pPr>
            <w:r>
              <w:t xml:space="preserve">Reachability-weighted CVE evidence</w:t>
            </w:r>
          </w:p>
        </w:tc>
        <w:tc>
          <w:tcPr/>
          <w:p>
            <w:pPr>
              <w:pStyle w:val="Compact"/>
            </w:pPr>
            <w:r>
              <w:t xml:space="preserve">Prioritised remediation list with compensating-control register</w:t>
            </w:r>
          </w:p>
        </w:tc>
      </w:tr>
      <w:tr>
        <w:tc>
          <w:tcPr>
            <w:shd w:val="clear" w:color="auto" w:fill="F2F2F2"/>
          </w:tcPr>
          <w:p>
            <w:pPr>
              <w:pStyle w:val="Compact"/>
            </w:pPr>
            <w:r>
              <w:t xml:space="preserve">Security monitoring</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w:t>
            </w:r>
          </w:p>
        </w:tc>
        <w:tc>
          <w:tcPr>
            <w:shd w:val="clear" w:color="auto" w:fill="F2F2F2"/>
          </w:tcPr>
          <w:p>
            <w:pPr>
              <w:pStyle w:val="Compact"/>
            </w:pPr>
            <w:r>
              <w:t xml:space="preserve">Alert and anomaly log scoped to Critical-Systems</w:t>
            </w:r>
          </w:p>
        </w:tc>
      </w:tr>
      <w:tr>
        <w:tc>
          <w:tcPr/>
          <w:p>
            <w:pPr>
              <w:pStyle w:val="Compact"/>
            </w:pPr>
            <w:r>
              <w:t xml:space="preserve">Cyber security operations / incident</w:t>
            </w:r>
          </w:p>
        </w:tc>
        <w:tc>
          <w:tcPr>
            <w:shd w:val="clear" w:color="auto" w:fill="107C41"/>
          </w:tcPr>
          <w:p>
            <w:pPr>
              <w:pStyle w:val="Compact"/>
            </w:pPr>
            <w:r>
              <w:rPr>
                <w:b/>
                <w:color w:val="FFFFFF"/>
              </w:rPr>
              <w:t>Direct</w:t>
            </w:r>
          </w:p>
        </w:tc>
        <w:tc>
          <w:tcPr/>
          <w:p>
            <w:pPr>
              <w:pStyle w:val="Compact"/>
            </w:pPr>
            <w:r>
              <w:t xml:space="preserve">Forensic flow + process search</w:t>
            </w:r>
          </w:p>
        </w:tc>
        <w:tc>
          <w:tcPr/>
          <w:p>
            <w:pPr>
              <w:pStyle w:val="Compact"/>
            </w:pPr>
            <w:r>
              <w:t xml:space="preserve">Investigation pack covering affected workloads and time window</w:t>
            </w:r>
          </w:p>
        </w:tc>
      </w:tr>
      <w:tr>
        <w:tc>
          <w:tcPr>
            <w:shd w:val="clear" w:color="auto" w:fill="F2F2F2"/>
          </w:tcPr>
          <w:p>
            <w:pPr>
              <w:pStyle w:val="Compact"/>
            </w:pPr>
            <w:r>
              <w:t xml:space="preserve">Management of IT services / outsourcing</w:t>
            </w:r>
          </w:p>
        </w:tc>
        <w:tc>
          <w:tcPr>
            <w:shd w:val="clear" w:color="auto" w:fill="C55A11"/>
          </w:tcPr>
          <w:p>
            <w:pPr>
              <w:pStyle w:val="Compact"/>
            </w:pPr>
            <w:r>
              <w:rPr>
                <w:b/>
                <w:color w:val="FFFFFF"/>
              </w:rPr>
              <w:t>Supporting</w:t>
            </w:r>
          </w:p>
        </w:tc>
        <w:tc>
          <w:tcPr>
            <w:shd w:val="clear" w:color="auto" w:fill="F2F2F2"/>
          </w:tcPr>
          <w:p>
            <w:pPr>
              <w:pStyle w:val="Compact"/>
            </w:pPr>
            <w:r>
              <w:t xml:space="preserve">Outbound flow summary to third-party endpoints</w:t>
            </w:r>
          </w:p>
        </w:tc>
        <w:tc>
          <w:tcPr>
            <w:shd w:val="clear" w:color="auto" w:fill="F2F2F2"/>
          </w:tcPr>
          <w:p>
            <w:pPr>
              <w:pStyle w:val="Compact"/>
            </w:pPr>
            <w:r>
              <w:t xml:space="preserve">Vendor-edge flow report reconciled against outsourcing register</w:t>
            </w:r>
          </w:p>
        </w:tc>
      </w:tr>
      <w:tr>
        <w:tc>
          <w:tcPr/>
          <w:p>
            <w:pPr>
              <w:pStyle w:val="Compact"/>
            </w:pPr>
            <w:r>
              <w:t xml:space="preserve">IT audit</w:t>
            </w:r>
          </w:p>
        </w:tc>
        <w:tc>
          <w:tcPr>
            <w:shd w:val="clear" w:color="auto" w:fill="107C41"/>
          </w:tcPr>
          <w:p>
            <w:pPr>
              <w:pStyle w:val="Compact"/>
            </w:pPr>
            <w:r>
              <w:rPr>
                <w:b/>
                <w:color w:val="FFFFFF"/>
              </w:rPr>
              <w:t>Direct</w:t>
            </w:r>
          </w:p>
        </w:tc>
        <w:tc>
          <w:tcPr/>
          <w:p>
            <w:pPr>
              <w:pStyle w:val="Compact"/>
            </w:pPr>
            <w:r>
              <w:t xml:space="preserve">Periodic evidence pack</w:t>
            </w:r>
          </w:p>
        </w:tc>
        <w:tc>
          <w:tcPr/>
          <w:p>
            <w:pPr>
              <w:pStyle w:val="Compact"/>
            </w:pPr>
            <w:r>
              <w:t xml:space="preserve">Quarterly inventory, policy, vulnerability, incident-sample bundle</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Critical-system inventory</w:t>
            </w:r>
          </w:p>
        </w:tc>
        <w:tc>
          <w:tcPr/>
          <w:p>
            <w:pPr>
              <w:pStyle w:val="Compact"/>
            </w:pPr>
            <w:r>
              <w:t xml:space="preserve">Inventory export with scope, labels, and lifecycle</w:t>
            </w:r>
          </w:p>
        </w:tc>
        <w:tc>
          <w:tcPr/>
          <w:p>
            <w:pPr>
              <w:pStyle w:val="Compact"/>
            </w:pPr>
            <w:r>
              <w:t xml:space="preserve">Workload inventory + scope membership export</w:t>
            </w:r>
          </w:p>
        </w:tc>
        <w:tc>
          <w:tcPr/>
          <w:p>
            <w:pPr>
              <w:pStyle w:val="Compact"/>
            </w:pPr>
            <w:r>
              <w:t xml:space="preserve">Monthly</w:t>
            </w:r>
          </w:p>
        </w:tc>
      </w:tr>
      <w:tr>
        <w:tc>
          <w:tcPr>
            <w:shd w:val="clear" w:color="auto" w:fill="F2F2F2"/>
          </w:tcPr>
          <w:p>
            <w:pPr>
              <w:pStyle w:val="Compact"/>
            </w:pPr>
            <w:r>
              <w:t xml:space="preserve">Approved vs. observed flows</w:t>
            </w:r>
          </w:p>
        </w:tc>
        <w:tc>
          <w:tcPr>
            <w:shd w:val="clear" w:color="auto" w:fill="F2F2F2"/>
          </w:tcPr>
          <w:p>
            <w:pPr>
              <w:pStyle w:val="Compact"/>
            </w:pPr>
            <w:r>
              <w:t xml:space="preserve">ADM output vs. enforced policy</w:t>
            </w:r>
          </w:p>
        </w:tc>
        <w:tc>
          <w:tcPr>
            <w:shd w:val="clear" w:color="auto" w:fill="F2F2F2"/>
          </w:tcPr>
          <w:p>
            <w:pPr>
              <w:pStyle w:val="Compact"/>
            </w:pPr>
            <w:r>
              <w:t xml:space="preserve">ADM workspace export</w:t>
            </w:r>
          </w:p>
        </w:tc>
        <w:tc>
          <w:tcPr>
            <w:shd w:val="clear" w:color="auto" w:fill="F2F2F2"/>
          </w:tcPr>
          <w:p>
            <w:pPr>
              <w:pStyle w:val="Compact"/>
            </w:pPr>
            <w:r>
              <w:t xml:space="preserve">Quarterly</w:t>
            </w:r>
          </w:p>
        </w:tc>
      </w:tr>
      <w:tr>
        <w:tc>
          <w:tcPr/>
          <w:p>
            <w:pPr>
              <w:pStyle w:val="Compact"/>
            </w:pPr>
            <w:r>
              <w:t xml:space="preserve">Policy enforcement evidence</w:t>
            </w:r>
          </w:p>
        </w:tc>
        <w:tc>
          <w:tcPr/>
          <w:p>
            <w:pPr>
              <w:pStyle w:val="Compact"/>
            </w:pPr>
            <w:r>
              <w:t xml:space="preserve">Workspace snapshot + violation log</w:t>
            </w:r>
          </w:p>
        </w:tc>
        <w:tc>
          <w:tcPr/>
          <w:p>
            <w:pPr>
              <w:pStyle w:val="Compact"/>
            </w:pPr>
            <w:r>
              <w:t xml:space="preserve">Policy workspace export and policy analysis output</w:t>
            </w:r>
          </w:p>
        </w:tc>
        <w:tc>
          <w:tcPr/>
          <w:p>
            <w:pPr>
              <w:pStyle w:val="Compact"/>
            </w:pPr>
            <w:r>
              <w:t xml:space="preserve">Quarterly + after each change</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into Critical-Systems</w:t>
            </w:r>
          </w:p>
        </w:tc>
        <w:tc>
          <w:tcPr>
            <w:shd w:val="clear" w:color="auto" w:fill="F2F2F2"/>
          </w:tcPr>
          <w:p>
            <w:pPr>
              <w:pStyle w:val="Compact"/>
            </w:pPr>
            <w:r>
              <w:t xml:space="preserve">Vulnerability report scoped to MAS-TRM</w:t>
            </w:r>
          </w:p>
        </w:tc>
        <w:tc>
          <w:tcPr>
            <w:shd w:val="clear" w:color="auto" w:fill="F2F2F2"/>
          </w:tcPr>
          <w:p>
            <w:pPr>
              <w:pStyle w:val="Compact"/>
            </w:pPr>
            <w:r>
              <w:t xml:space="preserve">Monthly</w:t>
            </w:r>
          </w:p>
        </w:tc>
      </w:tr>
      <w:tr>
        <w:tc>
          <w:tcPr/>
          <w:p>
            <w:pPr>
              <w:pStyle w:val="Compact"/>
            </w:pPr>
            <w:r>
              <w:t xml:space="preserve">Third-party egress reconciliation</w:t>
            </w:r>
          </w:p>
        </w:tc>
        <w:tc>
          <w:tcPr/>
          <w:p>
            <w:pPr>
              <w:pStyle w:val="Compact"/>
            </w:pPr>
            <w:r>
              <w:t xml:space="preserve">Outbound flow to vendor endpoints</w:t>
            </w:r>
          </w:p>
        </w:tc>
        <w:tc>
          <w:tcPr/>
          <w:p>
            <w:pPr>
              <w:pStyle w:val="Compact"/>
            </w:pPr>
            <w:r>
              <w:t xml:space="preserve">Flow search filtered to outsourced endpoints</w:t>
            </w:r>
          </w:p>
        </w:tc>
        <w:tc>
          <w:tcPr/>
          <w:p>
            <w:pPr>
              <w:pStyle w:val="Compact"/>
            </w:pPr>
            <w:r>
              <w:t xml:space="preserve">Monthly</w:t>
            </w:r>
          </w:p>
        </w:tc>
      </w:tr>
      <w:tr>
        <w:tc>
          <w:tcPr>
            <w:shd w:val="clear" w:color="auto" w:fill="F2F2F2"/>
          </w:tcPr>
          <w:p>
            <w:pPr>
              <w:pStyle w:val="Compact"/>
            </w:pPr>
            <w:r>
              <w:t xml:space="preserve">Incident sample</w:t>
            </w:r>
          </w:p>
        </w:tc>
        <w:tc>
          <w:tcPr>
            <w:shd w:val="clear" w:color="auto" w:fill="F2F2F2"/>
          </w:tcPr>
          <w:p>
            <w:pPr>
              <w:pStyle w:val="Compact"/>
            </w:pPr>
            <w:r>
              <w:t xml:space="preserve">Workload-level timeline for one representative incident</w:t>
            </w:r>
          </w:p>
        </w:tc>
        <w:tc>
          <w:tcPr>
            <w:shd w:val="clear" w:color="auto" w:fill="F2F2F2"/>
          </w:tcPr>
          <w:p>
            <w:pPr>
              <w:pStyle w:val="Compact"/>
            </w:pPr>
            <w:r>
              <w:t xml:space="preserve">Flow + process search</w:t>
            </w:r>
          </w:p>
        </w:tc>
        <w:tc>
          <w:tcPr>
            <w:shd w:val="clear" w:color="auto" w:fill="F2F2F2"/>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MAS-level governance, board / senior-management accountability, the technology risk management framework, BCP/DR, IAM/PAM, cryptography programme decisions, outsourcing due diligence, or regulatory notification decisions.</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MAS TRM Compliance Report</dc:title>
  <dc:creator/>
  <cp:keywords/>
  <dcterms:created xsi:type="dcterms:W3CDTF">2026-10-05T22:26:04Z</dcterms:created>
  <dcterms:modified xsi:type="dcterms:W3CDTF">2026-10-05T22:26:04Z</dcterms:modified>
</cp:coreProperties>
</file>

<file path=docProps/custom.xml><?xml version="1.0" encoding="utf-8"?>
<Properties xmlns="http://schemas.openxmlformats.org/officeDocument/2006/custom-properties" xmlns:vt="http://schemas.openxmlformats.org/officeDocument/2006/docPropsVTypes"/>
</file>