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3366"/>
          <w:sz w:val="52"/>
          <w:szCs w:val="52"/>
        </w:rPr>
        <w:t>CISCO SECURE WORKLOAD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0070C0"/>
          <w:sz w:val="40"/>
          <w:szCs w:val="40"/>
        </w:rPr>
        <w:t>NIST SP 800-207 Zero Trust Architecture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555555"/>
          <w:sz w:val="26"/>
          <w:szCs w:val="26"/>
        </w:rPr>
        <w:t>Zero Trust Tenets &amp; Deployment Model Alignment</w:t>
      </w:r>
    </w:p>
    <w:p>
      <w:pPr>
        <w:pStyle w:val="Normal"/>
        <w:pBdr>
          <w:bottom w:val="single" w:sz="12" w:space="4" w:color="0070C0"/>
        </w:pBdr>
        <w:spacing w:before="0" w:after="400"/>
        <w:jc w:val="center"/>
        <w:rPr/>
      </w:pPr>
      <w:r>
        <w:rPr/>
      </w:r>
    </w:p>
    <w:p>
      <w:pPr>
        <w:pStyle w:val="Normal"/>
        <w:spacing w:before="400" w:after="160"/>
        <w:jc w:val="center"/>
        <w:rPr/>
      </w:pPr>
      <w:r>
        <w:rPr>
          <w:rFonts w:eastAsia="Arial" w:cs="Arial"/>
          <w:color w:val="444444"/>
          <w:sz w:val="28"/>
          <w:szCs w:val="28"/>
        </w:rPr>
        <w:t>Prepared for:  [Customer Name]</w:t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color w:val="666666"/>
          <w:sz w:val="24"/>
          <w:szCs w:val="24"/>
        </w:rPr>
        <w:t>Prepared by:  Cisco Systems, Inc.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color w:val="888888"/>
          <w:sz w:val="20"/>
          <w:szCs w:val="20"/>
        </w:rPr>
        <w:t>Date:  [Month Year]  |  Version 1.0  |  Cisco Confidential</w:t>
      </w:r>
    </w:p>
    <w:tbl>
      <w:tblPr>
        <w:tblW w:w="600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6000"/>
      </w:tblGrid>
      <w:tr>
        <w:trPr/>
        <w:tc>
          <w:tcPr>
            <w:tcW w:w="6000" w:type="dxa"/>
            <w:tcBorders>
              <w:top w:val="single" w:sz="2" w:space="0" w:color="0070C0"/>
              <w:start w:val="single" w:sz="2" w:space="0" w:color="0070C0"/>
              <w:bottom w:val="single" w:sz="2" w:space="0" w:color="0070C0"/>
              <w:end w:val="single" w:sz="2" w:space="0" w:color="0070C0"/>
            </w:tcBorders>
            <w:shd w:fill="E8F4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03366"/>
                <w:sz w:val="22"/>
                <w:szCs w:val="22"/>
              </w:rPr>
              <w:t>Regulatory Standard: NIST SP 800-207 (Zero Trust Architecture — Seven Tenets)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Environment: Hybrid (On-Premises + AWS / Azure / GCP)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Deployment Stage: Fresh Installation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</w:pPr>
      <w:r>
        <w:t>How to read the Coverage column</w:t>
      </w:r>
    </w:p>
    <w:p>
      <w:pPr>
        <w:pStyle w:val="Normal"/>
      </w:pPr>
      <w:r>
        <w:rPr>
          <w:b/>
        </w:rPr>
        <w:t>Direct</w:t>
      </w:r>
      <w:r>
        <w:t xml:space="preserve"> means Secure Workload produces the primary evidence artifact for that row — segmentation, policy, flow and process telemetry, inventory, vulnerability and reachability, or forensic reconstruction. Direct is still evidence, not an attestation.</w:t>
      </w:r>
    </w:p>
    <w:p>
      <w:pPr>
        <w:pStyle w:val="Normal"/>
      </w:pPr>
      <w:r>
        <w:rPr>
          <w:b/>
        </w:rPr>
        <w:t>Supporting</w:t>
      </w:r>
      <w:r>
        <w:t xml:space="preserve"> means Secure Workload contributes an input that feeds or complements another control, tool, or process — detection input only, reconciled against an external register, or one log source among several.</w:t>
      </w:r>
    </w:p>
    <w:p>
      <w:pPr>
        <w:pStyle w:val="Normal"/>
      </w:pPr>
      <w:r>
        <w:rPr>
          <w:b/>
        </w:rPr>
        <w:t>Evidence Required</w:t>
      </w:r>
      <w:r>
        <w:t xml:space="preserve"> means Secure Workload has no record for that row. The customer supplies the contract, the analysis, or the HR / physical-security evidence from another control.</w:t>
      </w:r>
    </w:p>
    <w:p>
      <w:pPr>
        <w:pStyle w:val="Normal"/>
      </w:pPr>
      <w:r>
        <w:t>Every report in this set now uses the same three coverage words — Direct, Supporting, and Evidence Required. Coverage describes what evidence Secure Workload produces; it never means the control is passed.</w:t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Executive Summary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SP 800-207 defines Zero Trust Architecture (ZTA) as a set of cybersecurity paradigms that move defenses from static, network-based perimeters to focus on users, assets, and resources. The standard defines seven foundational tenets that any ZTA implementation must satisfy, along with three deployment models: Agent-Based, Enclave-Based, and Resource Portal-Based.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Cisco Secure Workload (CSW) is a foundational ZTA technology that directly satisfies NIST 800-207 tenets related to resource protection, communication integrity, dynamic policy enforcement, and continuous monitoring. CSW's workload-level micro-segmentation, Application Dependency Mapping (ADM), vulnerability detection, and forensic telemetry make it the enforcement and visibility layer of a NIST-compliant ZTA implementation.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ZTA Tenet Coverage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199"/>
        <w:gridCol w:w="3361"/>
        <w:gridCol w:w="1800"/>
      </w:tblGrid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NIST 800-207 Tenet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Role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Coverage</w:t>
            </w:r>
          </w:p>
        </w:tc>
      </w:tr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1 — All data sources and computing services are resources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Workload discovery and inventory across hybrid environments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2 — All communication is secured regardless of network location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Encrypted protocol enforcement, unencrypted flow detection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3 — Access to individual enterprise resources is granted on a per-session basis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Workload-level allowlist policies, session-scoped access enforcement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4 — Access to resources is determined by dynamic policy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ADM-derived policies, API-driven dynamic policy updates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5 — Enterprise monitors and measures integrity and security posture of all assets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 vulnerability scanning, process hash verification, telemetry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6 — All resource authentication and authorization is dynamic and strictly enforced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Encrypted auth path enforcement (LDAPS/Kerberos), unauthenticated access blocking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C55A1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Supporting</w:t>
            </w:r>
          </w:p>
        </w:tc>
      </w:tr>
      <w:tr>
        <w:trPr/>
        <w:tc>
          <w:tcPr>
            <w:tcW w:w="41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7 — Enterprise collects information about current state of assets and uses it to improve security posture</w:t>
            </w:r>
          </w:p>
        </w:tc>
        <w:tc>
          <w:tcPr>
            <w:tcW w:w="33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Full flow + process telemetry, ADM baseline, SIEM integration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NIST 800-207 Tenet-by-Tenet Mapping</w:t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Tenet 1 — All Data Sources and Computing Services Are Resources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Requirement: Every device, service, and data source — regardless of ownership or location — must be treated as a resource and managed accordingly.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Workload Discovery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software sensors auto-register every monitored workload as a managed resource. Cloud connectors extend this to AWS EC2, Azure VMs, and GCP instances via agentless discovery.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Universal Inventory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builds a real-time inventory of all computing resources — hostname, OS, processes, open ports, network interfaces, and communication partners.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Label-Based Classification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Every resource is labeled by environment, data classification, application, and owner — establishing the resource identity required by NIST 800-207.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Cloud Resource Parity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Cloud workloads are managed under the same policy framework as on-prem. No implicit trust for cloud-hosted resources — all treated as untrusted until verified.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Evidence generated: Workload inventory export, ADM resource map, cloud connector inventory report.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Tenet 2 — All Communication Is Secured Regardless of Network Location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Requirement: All traffic — including traffic on internal networks — must be protected. Network location alone does not grant implicit trust. Communications must be authenticated and encrypted.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Unencrypted Flow Detection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continuously monitors all workload communications and flags unencrypted protocols: HTTP (port 80), FTP (port 21), Telnet (port 23), plain LDAP (port 389), and legacy TLS versions (1.0/1.1).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Encrypted Path Enforcement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policies enforce HTTPS, SFTP, LDAPS, and SSH as the only permitted protocols for sensitive workloads. Non-compliant connections are blocked and alerted.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Internal Traffic Visibility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captures all east-west (internal) traffic — eliminating the assumption that internal network communication is safe. Every internal flow is validated against the approved policy baseline.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No Implicit Internal Trust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default-deny policies treat internal traffic identically to external traffic. All connections must match an explicit allowlist rule regardless of source network location.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Evidence generated: Protocol compliance report (unencrypted flow detection), policy enforcement log, ADM east-west flow map.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Tenet 3 — Access to Individual Resources Is Granted Per-Session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Requirement: Access must be granted to specific individual resources — not broad network segments — and must be evaluated per connection or session.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Workload-Level Allowlist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policies operate at the individual workload level — not subnet or VLAN. Each workload has its own explicit allowlist. Access to Workload A does not imply access to Workload B, even if they share a subnet.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Per-Flow Policy Evaluation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Every network connection is evaluated against the policy engine in real time. ADM-baseline policies define exactly which source workloads can reach which destination workloads on which ports.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Micro-Segmentation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enforces microsegmentation between every workload pair. Lateral movement — a resource reaching a workload it has no approved flow to — is blocked automatically.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Session Audit Trail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Every connection attempt (approved or denied) is recorded in CSW forensic telemetry with full context: source, destination, process, user, timestamp, and policy decision.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Evidence generated: Per-session flow log, policy denial log, micro-segmentation policy workspace export.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Tenet 4 — Access Is Determined by Dynamic Policy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Requirement: Access policy must be dynamic — incorporating observable state of the requesting resource, user behavioral attributes, and environmental conditions. Static firewall rules are insufficient.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ADM-Derived Policy Baseline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policies are derived from actual observed application behavior (ADM) — not manually authored static rules. The baseline reflects real traffic patterns and is updated as applications evolve.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Label-Driven Dynamic Scoping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As workload labels change (e.g., a workload is classified as PHI-bearing), CSW scope membership — and therefore the policies applied to it — updates automatically without manual rule changes.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API-Driven Policy Updates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REST API allows SOAR platforms, CMDB systems, and orchestration tools to push policy updates in real time. A workload flagged as compromised by EDR triggers an automatic CSW isolation policy via API.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Vulnerability-Informed Policy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vulnerability data drives compensating control policies: a workload with a critical unpatched CVE can be automatically restricted to admin-only access until patched — posture-aware access control.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Anomaly-Triggered Adjustment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anomaly detection identifies behavioral deviations from the ADM baseline. These signals trigger SOAR-mediated policy tightening — moving access decisions from static to continuously adaptive.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Evidence generated: ADM policy workspace, API audit log, anomaly alert-to-policy-change correlation log.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Tenet 5 — Enterprise Monitors and Measures Integrity and Security Posture of All Assets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Requirement: The enterprise must continuously monitor the security posture of all owned and associated assets. No asset is assumed healthy without verification.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Continuous Vulnerability Scanning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continuously scans all monitored workloads for CVEs without requiring a separate scanning tool. Results are CVSS-scored, workload-attributed, and exportable for risk register input.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Process Hash Verification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monitors the hash of all running processes per workload. Deviations from the approved process baseline — new or modified executables — are flagged immediately as integrity violations.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Configuration Drift Detection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detects new listening ports, new processes, and new network connections that deviate from the ADM-established baseline. Any drift from approved configuration triggers an alert.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Real-Time Posture Feed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posture data (vulnerability state, process baseline, network compliance) is continuously streamed to SIEM — providing the asset health data feed that NIST 800-207 requires for dynamic policy decisions.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Evidence generated: Vulnerability scan report (continuous), process anomaly alert log, configuration drift report, SIEM posture feed.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Tenet 6 — Authentication and Authorization Are Dynamic and Strictly Enforced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Requirement: Authentication and authorization must be performed before access is granted and must be re-evaluated continuously. This applies to both human users and non-person entities (NPEs).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Encrypted Auth Path Enforcement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enforces LDAPS (port 636) and Kerberos as the only permitted authentication paths to sensitive workloads. Plain LDAP (port 389) and unauthenticated access attempts are blocked by policy.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Non-Person Entity (NPE) Authentication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captures process-identity context per workload connection — identifying which service or application initiated each flow. Unrecognized process-to-resource connections trigger alerts.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Unauthenticated Access Detection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forensic telemetry identifies connections that bypass the approved authentication path — a direct indicator of credential compromise or lateral movement.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Complementary Controls Required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Full dynamic authentication (MFA re-evaluation, continuous session validation, IdP integration) requires pairing CSW with an Identity Provider (IdP), SSO platform, and/or Cisco Secure Access (ZTNA).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Evidence generated: Authentication path enforcement log (LDAPS policy), unauthenticated access alert log, process-identity flow report.</w:t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Note: Tenet 6 is Supporting coverage because CSW enforces the network path to authentication systems but does not itself perform identity provider functions. Pair with Cisco Secure Access or equivalent ZTNA for full coverage.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60"/>
        <w:rPr/>
      </w:pPr>
      <w:r>
        <w:rPr>
          <w:rFonts w:eastAsia="Arial" w:cs="Arial" w:ascii="Arial" w:hAnsi="Arial"/>
          <w:b/>
          <w:bCs/>
          <w:color w:val="0070C0"/>
          <w:sz w:val="28"/>
          <w:szCs w:val="28"/>
        </w:rPr>
        <w:t>Tenet 7 — Enterprise Collects Information and Uses It to Improve Security Posture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Requirement: The enterprise must collect, aggregate, and analyze data about the current state of assets, network traffic, and access requests, and use it to improve security posture over time.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6961"/>
      </w:tblGrid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Implementation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Detail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Full Flow &amp; Process Telemetry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collects comprehensive telemetry: every network flow (source, destination, port, protocol, bytes, duration), every process (name, hash, parent, user), and every policy decision across all monitored workloads.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ADM Behavioral Baseline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Quarterly ADM re-runs establish an evolving behavioral baseline. Delta analysis between ADM runs reveals new application dependencies, removed flows, and emerging attack surface — enabling proactive posture improvement.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Vulnerability Trend Analysis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tracks CVE emergence and remediation over time per workload. Trending data shows whether the organization's patch posture is improving, stable, or degrading.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SIEM Integration for Analytics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All CSW telemetry streams to SIEM via Kafka/Syslog — enabling the enterprise analytics platform required by NIST 800-207 to correlate CSW data with identity, endpoint, and cloud signals.</w:t>
            </w:r>
          </w:p>
        </w:tc>
      </w:tr>
      <w:tr>
        <w:trPr/>
        <w:tc>
          <w:tcPr>
            <w:tcW w:w="23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>Compliance Reporting Loop</w:t>
            </w:r>
          </w:p>
        </w:tc>
        <w:tc>
          <w:tcPr>
            <w:tcW w:w="696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compliance reports feed the security governance process. Control mapping evidence, vulnerability trends, and policy drift reports provide the data loop required by 800-207's continuous improvement model.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Evidence generated: SIEM telemetry feed, ADM delta report (quarterly), vulnerability trend report, compliance posture report.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NIST 800-207 Deployment Models — CSW Positioning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NIST 800-207 defines three ZTA deployment models. CSW plays a role in all three: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2560"/>
        <w:gridCol w:w="3201"/>
        <w:gridCol w:w="1800"/>
      </w:tblGrid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Deployment Model</w:t>
            </w:r>
          </w:p>
        </w:tc>
        <w:tc>
          <w:tcPr>
            <w:tcW w:w="2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NIST 800-207 Description</w:t>
            </w:r>
          </w:p>
        </w:tc>
        <w:tc>
          <w:tcPr>
            <w:tcW w:w="32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Role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Agent/Device-Based ZTA</w:t>
            </w:r>
          </w:p>
        </w:tc>
        <w:tc>
          <w:tcPr>
            <w:tcW w:w="2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Policy enforcement agent on each device evaluates access requests based on device posture and identity.</w:t>
            </w:r>
          </w:p>
        </w:tc>
        <w:tc>
          <w:tcPr>
            <w:tcW w:w="32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software sensor on each workload enforces network policy and collects posture data. Primary CSW deployment model.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Enclave-Based ZTA</w:t>
            </w:r>
          </w:p>
        </w:tc>
        <w:tc>
          <w:tcPr>
            <w:tcW w:w="2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Resources are grouped into enclaves. Access controlled at the gateway. Intra-enclave traffic is implicitly trusted.</w:t>
            </w:r>
          </w:p>
        </w:tc>
        <w:tc>
          <w:tcPr>
            <w:tcW w:w="32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replaces implicit intra-enclave trust with workload-level micro-segmentation. ADM validates all intra-enclave flows — no assumed trust within zones.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  <w:tr>
        <w:trPr/>
        <w:tc>
          <w:tcPr>
            <w:tcW w:w="17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Resource Portal-Based ZTA</w:t>
            </w:r>
          </w:p>
        </w:tc>
        <w:tc>
          <w:tcPr>
            <w:tcW w:w="25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 resource portal mediates all access. Users connect to the portal which proxies requests to backend resources.</w:t>
            </w:r>
          </w:p>
        </w:tc>
        <w:tc>
          <w:tcPr>
            <w:tcW w:w="32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CSW protects backend resources behind the portal. Enforces that only the portal can reach backend workloads. Detects any bypass of the portal path.</w:t>
            </w:r>
          </w:p>
        </w:tc>
        <w:tc>
          <w:tcPr>
            <w:tcW w:w="18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107C4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Direct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Evidence Collection for NIST 800-207 Compliance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2460"/>
        <w:gridCol w:w="2099"/>
        <w:gridCol w:w="2101"/>
      </w:tblGrid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Evidence Artifact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CSW Source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NIST 800-207 Tenet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Frequency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Workload inventory &amp; resource map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Inventory → Export + ADM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1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Monthly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Protocol compliance report (unencrypted flows)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Flow Search (protocol filter)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2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Quarterly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Per-session flow &amp; policy decision log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Flow Search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3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Continuous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ADM policy workspace + change log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Defend → Workspace History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4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Per change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Vulnerability scan report (trend)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Investigate → Vulnerability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5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Weekly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Process baseline + anomaly alert log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Alerts → Triggered Events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5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Real-time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Authentication path enforcement log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Policy Analysis (LDAPS rules)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6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Continuous</w:t>
            </w:r>
          </w:p>
        </w:tc>
      </w:tr>
      <w:tr>
        <w:trPr/>
        <w:tc>
          <w:tcPr>
            <w:tcW w:w="270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SIEM telemetry feed + ADM delta report</w:t>
            </w:r>
          </w:p>
        </w:tc>
        <w:tc>
          <w:tcPr>
            <w:tcW w:w="246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Platform → Data Export + ADM</w:t>
            </w:r>
          </w:p>
        </w:tc>
        <w:tc>
          <w:tcPr>
            <w:tcW w:w="209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Tenet 7</w:t>
            </w:r>
          </w:p>
        </w:tc>
        <w:tc>
          <w:tcPr>
            <w:tcW w:w="210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Continuous / Quarterly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0070C0"/>
        </w:pBdr>
        <w:spacing w:before="0" w:after="200"/>
        <w:rPr/>
      </w:pPr>
      <w:r>
        <w:rPr>
          <w:rFonts w:eastAsia="Arial" w:cs="Arial" w:ascii="Arial" w:hAnsi="Arial"/>
          <w:b/>
          <w:bCs/>
          <w:color w:val="003366"/>
          <w:sz w:val="36"/>
          <w:szCs w:val="36"/>
        </w:rPr>
        <w:t>Recommended Deployment Roadmap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80"/>
        <w:gridCol w:w="1919"/>
        <w:gridCol w:w="5041"/>
        <w:gridCol w:w="1920"/>
      </w:tblGrid>
      <w:tr>
        <w:trPr/>
        <w:tc>
          <w:tcPr>
            <w:tcW w:w="4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#</w:t>
            </w:r>
          </w:p>
        </w:tc>
        <w:tc>
          <w:tcPr>
            <w:tcW w:w="191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04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92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00336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Timeline</w:t>
            </w:r>
          </w:p>
        </w:tc>
      </w:tr>
      <w:tr>
        <w:trPr/>
        <w:tc>
          <w:tcPr>
            <w:tcW w:w="4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191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Resource Enumeration</w:t>
            </w:r>
          </w:p>
        </w:tc>
        <w:tc>
          <w:tcPr>
            <w:tcW w:w="504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Deploy CSW sensors on all workloads. Connect cloud accounts. Build complete resource inventory with labels. (Tenet 1)</w:t>
            </w:r>
          </w:p>
        </w:tc>
        <w:tc>
          <w:tcPr>
            <w:tcW w:w="192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Days 1–10</w:t>
            </w:r>
          </w:p>
        </w:tc>
      </w:tr>
      <w:tr>
        <w:trPr/>
        <w:tc>
          <w:tcPr>
            <w:tcW w:w="4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191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Communication Visibility</w:t>
            </w:r>
          </w:p>
        </w:tc>
        <w:tc>
          <w:tcPr>
            <w:tcW w:w="504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Run ADM for 2–4 weeks. Map all east-west flows. Identify unencrypted communications. (Tenet 2, 7)</w:t>
            </w:r>
          </w:p>
        </w:tc>
        <w:tc>
          <w:tcPr>
            <w:tcW w:w="192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Days 11–35</w:t>
            </w:r>
          </w:p>
        </w:tc>
      </w:tr>
      <w:tr>
        <w:trPr/>
        <w:tc>
          <w:tcPr>
            <w:tcW w:w="4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191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Per-Resource Policy</w:t>
            </w:r>
          </w:p>
        </w:tc>
        <w:tc>
          <w:tcPr>
            <w:tcW w:w="504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Build workload-level allowlist policies from ADM. Deploy default-deny for all sensitive scopes. (Tenet 3)</w:t>
            </w:r>
          </w:p>
        </w:tc>
        <w:tc>
          <w:tcPr>
            <w:tcW w:w="192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Days 36–50</w:t>
            </w:r>
          </w:p>
        </w:tc>
      </w:tr>
      <w:tr>
        <w:trPr/>
        <w:tc>
          <w:tcPr>
            <w:tcW w:w="4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191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Dynamic Policy Enablement</w:t>
            </w:r>
          </w:p>
        </w:tc>
        <w:tc>
          <w:tcPr>
            <w:tcW w:w="504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Integrate CSW API with SOAR. Enable label-driven dynamic scoping. Configure vulnerability-informed compensating controls. (Tenet 4)</w:t>
            </w:r>
          </w:p>
        </w:tc>
        <w:tc>
          <w:tcPr>
            <w:tcW w:w="192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Days 51–65</w:t>
            </w:r>
          </w:p>
        </w:tc>
      </w:tr>
      <w:tr>
        <w:trPr/>
        <w:tc>
          <w:tcPr>
            <w:tcW w:w="4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5</w:t>
            </w:r>
          </w:p>
        </w:tc>
        <w:tc>
          <w:tcPr>
            <w:tcW w:w="191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Continuous Posture Monitoring</w:t>
            </w:r>
          </w:p>
        </w:tc>
        <w:tc>
          <w:tcPr>
            <w:tcW w:w="504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FFFFF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Enable SIEM integration. Configure anomaly detection alerts. Establish weekly vulnerability reporting cadence. (Tenet 5, 7)</w:t>
            </w:r>
          </w:p>
        </w:tc>
        <w:tc>
          <w:tcPr>
            <w:tcW w:w="192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Days 66–75</w:t>
            </w:r>
          </w:p>
        </w:tc>
      </w:tr>
      <w:tr>
        <w:trPr/>
        <w:tc>
          <w:tcPr>
            <w:tcW w:w="48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6</w:t>
            </w:r>
          </w:p>
        </w:tc>
        <w:tc>
          <w:tcPr>
            <w:tcW w:w="1919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Auth Path Enforcement</w:t>
            </w:r>
          </w:p>
        </w:tc>
        <w:tc>
          <w:tcPr>
            <w:tcW w:w="5041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F2F2F2" w:val="clear"/>
            <w:vAlign w:val="cente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Enforce LDAPS-only paths. Block plain LDAP, Telnet, FTP to sensitive scopes. Pair with IdP/ZTNA for full Tenet 6 coverage. (Tenet 6)</w:t>
            </w:r>
          </w:p>
        </w:tc>
        <w:tc>
          <w:tcPr>
            <w:tcW w:w="1920" w:type="dxa"/>
            <w:tcBorders>
              <w:top w:val="single" w:sz="2" w:space="0" w:color="D9D9D9"/>
              <w:start w:val="single" w:sz="2" w:space="0" w:color="D9D9D9"/>
              <w:bottom w:val="single" w:sz="2" w:space="0" w:color="D9D9D9"/>
              <w:end w:val="single" w:sz="2" w:space="0" w:color="D9D9D9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Days 76–90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 |  Cisco Confidential  |  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2" w:color="D9D9D9"/>
      </w:pBdr>
      <w:rPr/>
    </w:pPr>
    <w:r>
      <w:rPr>
        <w:rFonts w:eastAsia="Arial" w:cs="Arial"/>
        <w:color w:val="888888"/>
        <w:sz w:val="16"/>
        <w:szCs w:val="16"/>
      </w:rPr>
      <w:t xml:space="preserve">© 2025 Cisco Systems, Inc.  |  Cisco Confidential  |  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NIST SP 800-207 ZERO TRUST ARCHITECTURE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0070C0"/>
      </w:pBdr>
      <w:tabs>
        <w:tab w:val="clear" w:pos="720"/>
        <w:tab w:val="right" w:pos="9026" w:leader="none"/>
      </w:tabs>
      <w:rPr/>
    </w:pPr>
    <w:r>
      <w:rPr>
        <w:rFonts w:eastAsia="Arial" w:cs="Arial"/>
        <w:b/>
        <w:bCs/>
        <w:color w:val="003366"/>
        <w:sz w:val="16"/>
        <w:szCs w:val="16"/>
      </w:rPr>
      <w:t>CISCO SECURE WORKLOAD  |  NIST SP 800-207 ZERO TRUST ARCHITECTURE</w:t>
    </w:r>
    <w:r>
      <w:rPr>
        <w:rFonts w:eastAsia="Arial" w:cs="Arial"/>
        <w:color w:val="888888"/>
        <w:sz w:val="16"/>
        <w:szCs w:val="16"/>
      </w:rPr>
      <w:tab/>
      <w:t>[Customer Name] — Confidential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003366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0070C0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2026-05-01T00:02:05Z</dcterms:created>
  <dc:creator>Un-named</dc:creator>
  <dc:description/>
  <dc:language>en-US</dc:language>
  <cp:lastModifiedBy>Un-named</cp:lastModifiedBy>
  <dcterms:modified xsi:type="dcterms:W3CDTF">2026-05-01T00:02:05Z</dcterms:modified>
  <cp:revision>1</cp:revision>
  <dc:subject/>
  <dc:title/>
</cp:coreProperties>
</file>