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SWIFT CSCF Compliance Report</w:t>
      </w:r>
    </w:p>
    <w:bookmarkStart w:id="23" w:name="Xc20f12bcffde27bb96df984c51a7bc82514919b"/>
    <w:p>
      <w:pPr>
        <w:pStyle w:val="Heading1"/>
      </w:pPr>
      <w:r>
        <w:t xml:space="preserve">Cisco Secure Workload - SWIFT CSCF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SWIFT Customer Security Controls Framework (CSCF) v2024</w:t>
      </w:r>
      <w:r>
        <w:br/>
      </w:r>
      <w:r>
        <w:rPr>
          <w:b/>
          <w:bCs/>
        </w:rPr>
        <w:t xml:space="preserve">Primary audience:</w:t>
      </w:r>
      <w:r>
        <w:t xml:space="preserve"> </w:t>
      </w:r>
      <w:r>
        <w:t xml:space="preserve">SWIFT users (financial institutions and service bureaus) subject to the SWIFT Customer Security Programme (CSP) and required to attest annually.</w:t>
      </w:r>
      <w:r>
        <w:br/>
      </w:r>
      <w:r>
        <w:rPr>
          <w:b/>
          <w:bCs/>
        </w:rPr>
        <w:t xml:space="preserve">CSW positioning:</w:t>
      </w:r>
      <w:r>
        <w:t xml:space="preserve"> </w:t>
      </w:r>
      <w:r>
        <w:t xml:space="preserve">SWIFT secure-zone segmentation, restricted Internet access from the secure zone, restricted access between the secure zone and the general enterprise IT estate, monitoring, and SWIFT-specific logging support.</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CSCF v2024. SWIFT publishes a new CSCF version yearly; verify against the version applicable to the customer’s attestation cycle. Control codes (e.g. 1.1, 1.4, 2.1, etc.) are stable across recent versions for mandatory controls but advisory controls evolve.</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CSW-SWIFT-CSCF-Technical-Runbook.md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SWIFT-CSCF</w:t>
      </w:r>
      <w:r>
        <w:br/>
      </w:r>
      <w:r>
        <w:rPr>
          <w:rStyle w:val="VerbatimChar"/>
        </w:rPr>
        <w:t xml:space="preserve">├── SWIFT-Secure-Zone (Messaging-Interfaces, Communication-Interfaces, Local-Authentication)</w:t>
      </w:r>
      <w:r>
        <w:br/>
      </w:r>
      <w:r>
        <w:rPr>
          <w:rStyle w:val="VerbatimChar"/>
        </w:rPr>
        <w:t xml:space="preserve">├── Operator-Workstations (dedicated and general-purpose)</w:t>
      </w:r>
      <w:r>
        <w:br/>
      </w:r>
      <w:r>
        <w:rPr>
          <w:rStyle w:val="VerbatimChar"/>
        </w:rPr>
        <w:t xml:space="preserve">├── Jump-Hosts-to-Secure-Zone</w:t>
      </w:r>
      <w:r>
        <w:br/>
      </w:r>
      <w:r>
        <w:rPr>
          <w:rStyle w:val="VerbatimChar"/>
        </w:rPr>
        <w:t xml:space="preserve">├── Internet-Restricted-Systems</w:t>
      </w:r>
      <w:r>
        <w:br/>
      </w:r>
      <w:r>
        <w:rPr>
          <w:rStyle w:val="VerbatimChar"/>
        </w:rPr>
        <w:t xml:space="preserve">└── Third-Party-Connectivity</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1.1 SWIFT Environment Protection (secure-zone isolation evidence)</w:t>
      </w:r>
    </w:p>
    <w:p>
      <w:pPr>
        <w:pStyle w:val="Compact"/>
        <w:numPr>
          <w:ilvl w:val="0"/>
          <w:numId w:val="1001"/>
        </w:numPr>
      </w:pPr>
      <w:r>
        <w:t xml:space="preserve">1.4 Internet Access Restriction (egress monitoring from secure zone)</w:t>
      </w:r>
    </w:p>
    <w:p>
      <w:pPr>
        <w:pStyle w:val="Compact"/>
        <w:numPr>
          <w:ilvl w:val="0"/>
          <w:numId w:val="1001"/>
        </w:numPr>
      </w:pPr>
      <w:r>
        <w:t xml:space="preserve">2.x System Integrity (workload monitoring, vulnerability handling on secure-zone components)</w:t>
      </w:r>
    </w:p>
    <w:p>
      <w:pPr>
        <w:pStyle w:val="Compact"/>
        <w:numPr>
          <w:ilvl w:val="0"/>
          <w:numId w:val="1001"/>
        </w:numPr>
      </w:pPr>
      <w:r>
        <w:t xml:space="preserve">5.x Access Controls (workload-to-workload layer)</w:t>
      </w:r>
    </w:p>
    <w:p>
      <w:pPr>
        <w:pStyle w:val="Compact"/>
        <w:numPr>
          <w:ilvl w:val="0"/>
          <w:numId w:val="1001"/>
        </w:numPr>
      </w:pPr>
      <w:r>
        <w:t xml:space="preserve">6.x Detect Anomalous Activity (continuous flow + process telemetry)</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3.x Physically Secure the Environment</w:t>
      </w:r>
    </w:p>
    <w:p>
      <w:pPr>
        <w:pStyle w:val="Compact"/>
        <w:numPr>
          <w:ilvl w:val="0"/>
          <w:numId w:val="1002"/>
        </w:numPr>
      </w:pPr>
      <w:r>
        <w:t xml:space="preserve">4.x Prevent Compromise of Credentials (identity layer)</w:t>
      </w:r>
    </w:p>
    <w:p>
      <w:pPr>
        <w:pStyle w:val="Compact"/>
        <w:numPr>
          <w:ilvl w:val="0"/>
          <w:numId w:val="1002"/>
        </w:numPr>
      </w:pPr>
      <w:r>
        <w:t xml:space="preserve">5.4 Physical and Logical Password Storage</w:t>
      </w:r>
    </w:p>
    <w:p>
      <w:pPr>
        <w:pStyle w:val="Compact"/>
        <w:numPr>
          <w:ilvl w:val="0"/>
          <w:numId w:val="1002"/>
        </w:numPr>
      </w:pPr>
      <w:r>
        <w:t xml:space="preserve">6.4 Logging and Monitoring (CSW is one log source; SWIFT-specific logging requires the messaging interface logs)</w:t>
      </w:r>
    </w:p>
    <w:p>
      <w:pPr>
        <w:pStyle w:val="Compact"/>
        <w:numPr>
          <w:ilvl w:val="0"/>
          <w:numId w:val="1002"/>
        </w:numPr>
      </w:pPr>
      <w:r>
        <w:t xml:space="preserve">7.x Plan for Incident Response and Information Sharing (governance)</w:t>
      </w:r>
    </w:p>
    <w:p>
      <w:pPr>
        <w:pStyle w:val="Compact"/>
        <w:numPr>
          <w:ilvl w:val="0"/>
          <w:numId w:val="1002"/>
        </w:numPr>
      </w:pPr>
      <w:r>
        <w:t xml:space="preserve">SWIFT CSP attestation submission itself</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1.1 Secure-zone isolation</w:t>
            </w:r>
          </w:p>
        </w:tc>
        <w:tc>
          <w:tcPr>
            <w:shd w:val="clear" w:color="auto" w:fill="107C41"/>
          </w:tcPr>
          <w:p>
            <w:pPr>
              <w:pStyle w:val="Compact"/>
            </w:pPr>
            <w:r>
              <w:rPr>
                <w:b/>
                <w:color w:val="FFFFFF"/>
              </w:rPr>
              <w:t>Direct</w:t>
            </w:r>
          </w:p>
        </w:tc>
        <w:tc>
          <w:tcPr/>
          <w:p>
            <w:pPr>
              <w:pStyle w:val="Compact"/>
            </w:pPr>
            <w:r>
              <w:t xml:space="preserve">Policy workspace + default-deny at secure-zone boundary</w:t>
            </w:r>
          </w:p>
        </w:tc>
        <w:tc>
          <w:tcPr/>
          <w:p>
            <w:pPr>
              <w:pStyle w:val="Compact"/>
            </w:pPr>
            <w:r>
              <w:t xml:space="preserve">Workspace snapshot showing secure-zone boundary deny rules</w:t>
            </w:r>
          </w:p>
        </w:tc>
      </w:tr>
      <w:tr>
        <w:tc>
          <w:tcPr>
            <w:shd w:val="clear" w:color="auto" w:fill="F2F2F2"/>
          </w:tcPr>
          <w:p>
            <w:pPr>
              <w:pStyle w:val="Compact"/>
            </w:pPr>
            <w:r>
              <w:t xml:space="preserve">1.4 Internet access restriction</w:t>
            </w:r>
          </w:p>
        </w:tc>
        <w:tc>
          <w:tcPr>
            <w:shd w:val="clear" w:color="auto" w:fill="107C41"/>
          </w:tcPr>
          <w:p>
            <w:pPr>
              <w:pStyle w:val="Compact"/>
            </w:pPr>
            <w:r>
              <w:rPr>
                <w:b/>
                <w:color w:val="FFFFFF"/>
              </w:rPr>
              <w:t>Direct</w:t>
            </w:r>
          </w:p>
        </w:tc>
        <w:tc>
          <w:tcPr>
            <w:shd w:val="clear" w:color="auto" w:fill="F2F2F2"/>
          </w:tcPr>
          <w:p>
            <w:pPr>
              <w:pStyle w:val="Compact"/>
            </w:pPr>
            <w:r>
              <w:t xml:space="preserve">Outbound flow telemetry from secure zone</w:t>
            </w:r>
          </w:p>
        </w:tc>
        <w:tc>
          <w:tcPr>
            <w:shd w:val="clear" w:color="auto" w:fill="F2F2F2"/>
          </w:tcPr>
          <w:p>
            <w:pPr>
              <w:pStyle w:val="Compact"/>
            </w:pPr>
            <w:r>
              <w:t xml:space="preserve">Egress flow report from SWIFT-Secure-Zone</w:t>
            </w:r>
          </w:p>
        </w:tc>
      </w:tr>
      <w:tr>
        <w:tc>
          <w:tcPr/>
          <w:p>
            <w:pPr>
              <w:pStyle w:val="Compact"/>
            </w:pPr>
            <w:r>
              <w:t xml:space="preserve">2.x System integrity (vulnerability)</w:t>
            </w:r>
          </w:p>
        </w:tc>
        <w:tc>
          <w:tcPr>
            <w:shd w:val="clear" w:color="auto" w:fill="107C41"/>
          </w:tcPr>
          <w:p>
            <w:pPr>
              <w:pStyle w:val="Compact"/>
            </w:pPr>
            <w:r>
              <w:rPr>
                <w:b/>
                <w:color w:val="FFFFFF"/>
              </w:rPr>
              <w:t>Direct</w:t>
            </w:r>
          </w:p>
        </w:tc>
        <w:tc>
          <w:tcPr/>
          <w:p>
            <w:pPr>
              <w:pStyle w:val="Compact"/>
            </w:pPr>
            <w:r>
              <w:t xml:space="preserve">Reachability-weighted CVE on secure-zone components</w:t>
            </w:r>
          </w:p>
        </w:tc>
        <w:tc>
          <w:tcPr/>
          <w:p>
            <w:pPr>
              <w:pStyle w:val="Compact"/>
            </w:pPr>
            <w:r>
              <w:t xml:space="preserve">Prioritised remediation list</w:t>
            </w:r>
          </w:p>
        </w:tc>
      </w:tr>
      <w:tr>
        <w:tc>
          <w:tcPr>
            <w:shd w:val="clear" w:color="auto" w:fill="F2F2F2"/>
          </w:tcPr>
          <w:p>
            <w:pPr>
              <w:pStyle w:val="Compact"/>
            </w:pPr>
            <w:r>
              <w:t xml:space="preserve">5.x Access controls (workload layer)</w:t>
            </w:r>
          </w:p>
        </w:tc>
        <w:tc>
          <w:tcPr>
            <w:shd w:val="clear" w:color="auto" w:fill="107C41"/>
          </w:tcPr>
          <w:p>
            <w:pPr>
              <w:pStyle w:val="Compact"/>
            </w:pPr>
            <w:r>
              <w:rPr>
                <w:b/>
                <w:color w:val="FFFFFF"/>
              </w:rPr>
              <w:t>Direct</w:t>
            </w:r>
          </w:p>
        </w:tc>
        <w:tc>
          <w:tcPr>
            <w:shd w:val="clear" w:color="auto" w:fill="F2F2F2"/>
          </w:tcPr>
          <w:p>
            <w:pPr>
              <w:pStyle w:val="Compact"/>
            </w:pPr>
            <w:r>
              <w:t xml:space="preserve">Policy workspace + enforcement / violation log</w:t>
            </w:r>
          </w:p>
        </w:tc>
        <w:tc>
          <w:tcPr>
            <w:shd w:val="clear" w:color="auto" w:fill="F2F2F2"/>
          </w:tcPr>
          <w:p>
            <w:pPr>
              <w:pStyle w:val="Compact"/>
            </w:pPr>
            <w:r>
              <w:t xml:space="preserve">Workspace snapshot + violation log</w:t>
            </w:r>
          </w:p>
        </w:tc>
      </w:tr>
      <w:tr>
        <w:tc>
          <w:tcPr/>
          <w:p>
            <w:pPr>
              <w:pStyle w:val="Compact"/>
            </w:pPr>
            <w:r>
              <w:t xml:space="preserve">6.x Anomalous activity detection</w:t>
            </w:r>
          </w:p>
        </w:tc>
        <w:tc>
          <w:tcPr>
            <w:shd w:val="clear" w:color="auto" w:fill="107C41"/>
          </w:tcPr>
          <w:p>
            <w:pPr>
              <w:pStyle w:val="Compact"/>
            </w:pPr>
            <w:r>
              <w:rPr>
                <w:b/>
                <w:color w:val="FFFFFF"/>
              </w:rPr>
              <w:t>Direct</w:t>
            </w:r>
          </w:p>
        </w:tc>
        <w:tc>
          <w:tcPr/>
          <w:p>
            <w:pPr>
              <w:pStyle w:val="Compact"/>
            </w:pPr>
            <w:r>
              <w:t xml:space="preserve">Continuous flow + process telemetry; alerts</w:t>
            </w:r>
          </w:p>
        </w:tc>
        <w:tc>
          <w:tcPr/>
          <w:p>
            <w:pPr>
              <w:pStyle w:val="Compact"/>
            </w:pPr>
            <w:r>
              <w:t xml:space="preserve">Alert and anomaly log scoped to SWIFT-CSCF</w:t>
            </w:r>
          </w:p>
        </w:tc>
      </w:tr>
      <w:tr>
        <w:tc>
          <w:tcPr>
            <w:shd w:val="clear" w:color="auto" w:fill="F2F2F2"/>
          </w:tcPr>
          <w:p>
            <w:pPr>
              <w:pStyle w:val="Compact"/>
            </w:pPr>
            <w:r>
              <w:t xml:space="preserve">Operator path evidence</w:t>
            </w:r>
          </w:p>
        </w:tc>
        <w:tc>
          <w:tcPr>
            <w:shd w:val="clear" w:color="auto" w:fill="107C41"/>
          </w:tcPr>
          <w:p>
            <w:pPr>
              <w:pStyle w:val="Compact"/>
            </w:pPr>
            <w:r>
              <w:rPr>
                <w:b/>
                <w:color w:val="FFFFFF"/>
              </w:rPr>
              <w:t>Direct</w:t>
            </w:r>
          </w:p>
        </w:tc>
        <w:tc>
          <w:tcPr>
            <w:shd w:val="clear" w:color="auto" w:fill="F2F2F2"/>
          </w:tcPr>
          <w:p>
            <w:pPr>
              <w:pStyle w:val="Compact"/>
            </w:pPr>
            <w:r>
              <w:t xml:space="preserve">Flow telemetry for operator workstations and jump hosts</w:t>
            </w:r>
          </w:p>
        </w:tc>
        <w:tc>
          <w:tcPr>
            <w:shd w:val="clear" w:color="auto" w:fill="F2F2F2"/>
          </w:tcPr>
          <w:p>
            <w:pPr>
              <w:pStyle w:val="Compact"/>
            </w:pPr>
            <w:r>
              <w:t xml:space="preserve">Operator-workstation flow report</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Secure-zone inventory</w:t>
            </w:r>
          </w:p>
        </w:tc>
        <w:tc>
          <w:tcPr/>
          <w:p>
            <w:pPr>
              <w:pStyle w:val="Compact"/>
            </w:pPr>
            <w:r>
              <w:t xml:space="preserve">Workloads in SWIFT-Secure-Zone</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Secure-zone boundary evidence</w:t>
            </w:r>
          </w:p>
        </w:tc>
        <w:tc>
          <w:tcPr>
            <w:shd w:val="clear" w:color="auto" w:fill="F2F2F2"/>
          </w:tcPr>
          <w:p>
            <w:pPr>
              <w:pStyle w:val="Compact"/>
            </w:pPr>
            <w:r>
              <w:t xml:space="preserve">Workspace snapshot and policy violation log</w:t>
            </w:r>
          </w:p>
        </w:tc>
        <w:tc>
          <w:tcPr>
            <w:shd w:val="clear" w:color="auto" w:fill="F2F2F2"/>
          </w:tcPr>
          <w:p>
            <w:pPr>
              <w:pStyle w:val="Compact"/>
            </w:pPr>
            <w:r>
              <w:t xml:space="preserve">Policy workspace export + policy analysis output</w:t>
            </w:r>
          </w:p>
        </w:tc>
        <w:tc>
          <w:tcPr>
            <w:shd w:val="clear" w:color="auto" w:fill="F2F2F2"/>
          </w:tcPr>
          <w:p>
            <w:pPr>
              <w:pStyle w:val="Compact"/>
            </w:pPr>
            <w:r>
              <w:t xml:space="preserve">Quarterly + after each change</w:t>
            </w:r>
          </w:p>
        </w:tc>
      </w:tr>
      <w:tr>
        <w:tc>
          <w:tcPr/>
          <w:p>
            <w:pPr>
              <w:pStyle w:val="Compact"/>
            </w:pPr>
            <w:r>
              <w:t xml:space="preserve">Internet access restriction evidence</w:t>
            </w:r>
          </w:p>
        </w:tc>
        <w:tc>
          <w:tcPr/>
          <w:p>
            <w:pPr>
              <w:pStyle w:val="Compact"/>
            </w:pPr>
            <w:r>
              <w:t xml:space="preserve">Outbound flow from secure zone with destination context</w:t>
            </w:r>
          </w:p>
        </w:tc>
        <w:tc>
          <w:tcPr/>
          <w:p>
            <w:pPr>
              <w:pStyle w:val="Compact"/>
            </w:pPr>
            <w:r>
              <w:t xml:space="preserve">Flow search filtered to SWIFT-Secure-Zone egress</w:t>
            </w:r>
          </w:p>
        </w:tc>
        <w:tc>
          <w:tcPr/>
          <w:p>
            <w:pPr>
              <w:pStyle w:val="Compact"/>
            </w:pPr>
            <w:r>
              <w:t xml:space="preserve">Monthly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into secure-zone components</w:t>
            </w:r>
          </w:p>
        </w:tc>
        <w:tc>
          <w:tcPr>
            <w:shd w:val="clear" w:color="auto" w:fill="F2F2F2"/>
          </w:tcPr>
          <w:p>
            <w:pPr>
              <w:pStyle w:val="Compact"/>
            </w:pPr>
            <w:r>
              <w:t xml:space="preserve">Vulnerability report scoped to SWIFT-CSCF</w:t>
            </w:r>
          </w:p>
        </w:tc>
        <w:tc>
          <w:tcPr>
            <w:shd w:val="clear" w:color="auto" w:fill="F2F2F2"/>
          </w:tcPr>
          <w:p>
            <w:pPr>
              <w:pStyle w:val="Compact"/>
            </w:pPr>
            <w:r>
              <w:t xml:space="preserve">Monthly</w:t>
            </w:r>
          </w:p>
        </w:tc>
      </w:tr>
      <w:tr>
        <w:tc>
          <w:tcPr/>
          <w:p>
            <w:pPr>
              <w:pStyle w:val="Compact"/>
            </w:pPr>
            <w:r>
              <w:t xml:space="preserve">Operator workstation activity</w:t>
            </w:r>
          </w:p>
        </w:tc>
        <w:tc>
          <w:tcPr/>
          <w:p>
            <w:pPr>
              <w:pStyle w:val="Compact"/>
            </w:pPr>
            <w:r>
              <w:t xml:space="preserve">Operator and jump-host flow telemetry</w:t>
            </w:r>
          </w:p>
        </w:tc>
        <w:tc>
          <w:tcPr/>
          <w:p>
            <w:pPr>
              <w:pStyle w:val="Compact"/>
            </w:pPr>
            <w:r>
              <w:t xml:space="preserve">Flow search on Operator-Workstations and Jump-Hosts</w:t>
            </w:r>
          </w:p>
        </w:tc>
        <w:tc>
          <w:tcPr/>
          <w:p>
            <w:pPr>
              <w:pStyle w:val="Compact"/>
            </w:pPr>
            <w:r>
              <w:t xml:space="preserve">Continuous; reviewed monthly</w:t>
            </w:r>
          </w:p>
        </w:tc>
      </w:tr>
      <w:tr>
        <w:tc>
          <w:tcPr>
            <w:shd w:val="clear" w:color="auto" w:fill="F2F2F2"/>
          </w:tcPr>
          <w:p>
            <w:pPr>
              <w:pStyle w:val="Compact"/>
            </w:pPr>
            <w:r>
              <w:t xml:space="preserve">Incident sample</w:t>
            </w:r>
          </w:p>
        </w:tc>
        <w:tc>
          <w:tcPr>
            <w:shd w:val="clear" w:color="auto" w:fill="F2F2F2"/>
          </w:tcPr>
          <w:p>
            <w:pPr>
              <w:pStyle w:val="Compact"/>
            </w:pPr>
            <w:r>
              <w:t xml:space="preserve">Workload-level timeline for one representative incident</w:t>
            </w:r>
          </w:p>
        </w:tc>
        <w:tc>
          <w:tcPr>
            <w:shd w:val="clear" w:color="auto" w:fill="F2F2F2"/>
          </w:tcPr>
          <w:p>
            <w:pPr>
              <w:pStyle w:val="Compact"/>
            </w:pPr>
            <w:r>
              <w:t xml:space="preserve">Flow + process search</w:t>
            </w:r>
          </w:p>
        </w:tc>
        <w:tc>
          <w:tcPr>
            <w:shd w:val="clear" w:color="auto" w:fill="F2F2F2"/>
          </w:tcPr>
          <w:p>
            <w:pPr>
              <w:pStyle w:val="Compact"/>
            </w:pPr>
            <w:r>
              <w:t xml:space="preserve">Per incident</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the SWIFT CSP attestation, the messaging interface itself, SWIFT-specific application controls (logging, message integrity, operator authentication), physical security of the SWIFT environment, or the operator credential lifecycle.</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SWIFT CSCF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