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UK Cyber Essentials Plus Compliance Report</w:t>
      </w:r>
    </w:p>
    <w:bookmarkStart w:id="23" w:name="Xed211cdcf52d37d55ce6f6cd7b7e2aa8011d82a"/>
    <w:p>
      <w:pPr>
        <w:pStyle w:val="Heading1"/>
      </w:pPr>
      <w:r>
        <w:t xml:space="preserve">Cisco Secure Workload - UK Cyber Essentials Plus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UK NCSC Cyber Essentials Plus</w:t>
      </w:r>
      <w:r>
        <w:br/>
      </w:r>
      <w:r>
        <w:rPr>
          <w:b/>
          <w:bCs/>
        </w:rPr>
        <w:t xml:space="preserve">Primary audience:</w:t>
      </w:r>
      <w:r>
        <w:t xml:space="preserve"> </w:t>
      </w:r>
      <w:r>
        <w:t xml:space="preserve">UK organisations preparing for Cyber Essentials or Cyber Essentials Plus certification.</w:t>
      </w:r>
      <w:r>
        <w:br/>
      </w:r>
      <w:r>
        <w:rPr>
          <w:b/>
          <w:bCs/>
        </w:rPr>
        <w:t xml:space="preserve">CSW positioning:</w:t>
      </w:r>
      <w:r>
        <w:t xml:space="preserve"> </w:t>
      </w:r>
      <w:r>
        <w:t xml:space="preserve">Workload-level firewall evidence (control category 1), secure configuration baseline (category 2), patch / vulnerability prioritisation (category 3 - Security Update Management), and supporting evidence for technical verification (CE+ component).</w:t>
      </w:r>
    </w:p>
    <w:p>
      <w:r>
        <w:pict>
          <v:rect style="width:0;height:1.5pt" o:hralign="center" o:hrstd="t" o:hr="t"/>
        </w:pict>
      </w:r>
    </w:p>
    <w:bookmarkEnd w:id="9"/>
    <w:bookmarkStart w:id="10" w:name="framework-version-note"/>
    <w:p>
      <w:pPr>
        <w:pStyle w:val="Heading2"/>
      </w:pPr>
      <w:r>
        <w:t xml:space="preserve">Framework Version Note</w:t>
      </w:r>
    </w:p>
    <w:p>
      <w:pPr>
        <w:pStyle w:val="FirstParagraph"/>
      </w:pPr>
      <w:r>
        <w:t xml:space="preserve">References Cyber Essentials (CE) and Cyber Essentials Plus (CE+) as operated by IASME on behalf of NCSC. The five control categories are: Firewalls, Secure Configuration, Security Update Management, User Access Control, and Malware Protection. CE / CE+ requirements are updated periodically; validate against the current published requirements document.</w:t>
      </w:r>
    </w:p>
    <w:bookmarkEnd w:id="10"/>
    <w:bookmarkStart w:id="11" w:name="csw-ui-navigation-note"/>
    <w:p>
      <w:pPr>
        <w:pStyle w:val="Heading2"/>
      </w:pPr>
      <w:r>
        <w:t xml:space="preserve">CSW UI Navigation Note</w:t>
      </w:r>
    </w:p>
    <w:p>
      <w:pPr>
        <w:pStyle w:val="FirstParagraph"/>
      </w:pPr>
      <w:r>
        <w:t xml:space="preserve">Cisco does not yet publish framework-specific CSW UI navigation for this standard; framework-specific navigation is on the product roadmap. This report references CSW</w:t>
      </w:r>
      <w:r>
        <w:t xml:space="preserve"> </w:t>
      </w:r>
      <w:r>
        <w:rPr>
          <w:i/>
          <w:iCs/>
        </w:rPr>
        <w:t xml:space="preserve">capabilities</w:t>
      </w:r>
      <w:r>
        <w:t xml:space="preserve"> </w:t>
      </w:r>
      <w:r>
        <w:t xml:space="preserve">and the</w:t>
      </w:r>
      <w:r>
        <w:t xml:space="preserve"> </w:t>
      </w:r>
      <w:r>
        <w:rPr>
          <w:i/>
          <w:iCs/>
        </w:rPr>
        <w:t xml:space="preserve">evidence artifacts</w:t>
      </w:r>
      <w:r>
        <w:t xml:space="preserve"> </w:t>
      </w:r>
      <w:r>
        <w:t xml:space="preserve">they produce. The technical runbook (</w:t>
      </w:r>
      <w:r>
        <w:rPr>
          <w:rStyle w:val="VerbatimChar"/>
        </w:rPr>
        <w:t xml:space="preserve">CSW-Cyber-Essentials-Technical-Runbook.md</w:t>
      </w:r>
      <w:r>
        <w:t xml:space="preserve">) in this folder contains the deeper engineering detail.</w:t>
      </w:r>
    </w:p>
    <w:p>
      <w:r>
        <w:pict>
          <v:rect style="width:0;height:1.5pt" o:hralign="center" o:hrstd="t" o:hr="t"/>
        </w:pict>
      </w:r>
    </w:p>
    <w:bookmarkEnd w:id="11"/>
    <w:bookmarkStart w:id="12" w:name="how-to-read-the-coverage-column"/>
    <w:p>
      <w:pPr>
        <w:pStyle w:val="Heading2"/>
      </w:pPr>
      <w:r>
        <w:t xml:space="preserve">How to read the Coverage column</w:t>
      </w:r>
    </w:p>
    <w:p>
      <w:pPr>
        <w:pStyle w:val="FirstParagraph"/>
      </w:pPr>
      <w:r>
        <w:t xml:space="preserve">Every report in this set uses the same three coverage words. Coverage describes</w:t>
      </w:r>
      <w:r>
        <w:t xml:space="preserve"> </w:t>
      </w:r>
      <w:r>
        <w:rPr>
          <w:b/>
          <w:bCs/>
        </w:rPr>
        <w:t xml:space="preserve">what evidence CSW produces</w:t>
      </w:r>
      <w:r>
        <w:t xml:space="preserve"> </w:t>
      </w:r>
      <w:r>
        <w:t xml:space="preserve">for a topic — it never means the control is passed.</w:t>
      </w:r>
    </w:p>
    <w:p>
      <w:pPr>
        <w:pStyle w:val="BodyText"/>
      </w:pPr>
      <w:r>
        <w:rPr>
          <w:b/>
          <w:bCs/>
        </w:rPr>
        <w:t xml:space="preserve">Direct</w:t>
      </w:r>
      <w:r>
        <w:t xml:space="preserve"> </w:t>
      </w:r>
      <w:r>
        <w:t xml:space="preserve">— Secure Workload produces the primary evidence artifact for that topic (segmentation, policy, flow/process telemetry, inventory, vulnerability + reachability, forensic reconstruction). Direct is still evidence, not an attestation.</w:t>
      </w:r>
    </w:p>
    <w:p>
      <w:pPr>
        <w:pStyle w:val="BodyText"/>
      </w:pPr>
      <w:r>
        <w:rPr>
          <w:b/>
          <w:bCs/>
        </w:rPr>
        <w:t xml:space="preserve">Supporting</w:t>
      </w:r>
      <w:r>
        <w:t xml:space="preserve"> </w:t>
      </w:r>
      <w:r>
        <w:t xml:space="preserve">— Secure Workload contributes an input that feeds or complements another control, tool, or process (e.g. detection input only, reconciled against an external register, one log source among several).</w:t>
      </w:r>
    </w:p>
    <w:p>
      <w:pPr>
        <w:pStyle w:val="BodyText"/>
      </w:pPr>
      <w:r>
        <w:rPr>
          <w:b/>
          <w:bCs/>
        </w:rPr>
        <w:t xml:space="preserve">Evidence Required</w:t>
      </w:r>
      <w:r>
        <w:t xml:space="preserve"> </w:t>
      </w:r>
      <w:r>
        <w:t xml:space="preserve">— Secure Workload has no record for this topic. The customer supplies the contract, the analysis, or the HR / physical-security evidence from another control.</w:t>
      </w:r>
    </w:p>
    <w:p>
      <w:pPr>
        <w:pStyle w:val="BlockText"/>
      </w:pPr>
      <w:r>
        <w:t xml:space="preserve">The Coverage ratings in the topic map below are machine-derived from each row’s wording and are flagged for SE review before customer use.</w:t>
      </w:r>
    </w:p>
    <w:bookmarkEnd w:id="12"/>
    <w:bookmarkStart w:id="13" w:name="executive-summary"/>
    <w:p>
      <w:pPr>
        <w:pStyle w:val="Heading2"/>
      </w:pPr>
      <w:r>
        <w:t xml:space="preserve">Executive Summary</w:t>
      </w:r>
    </w:p>
    <w:p>
      <w:pPr>
        <w:pStyle w:val="FirstParagraph"/>
      </w:pPr>
      <w:r>
        <w:t xml:space="preserve">Cisco Secure Workload (CSW) supports a defined subset of this framework. The strongest customer story is not that CSW</w:t>
      </w:r>
      <w:r>
        <w:t xml:space="preserve"> </w:t>
      </w:r>
      <w:r>
        <w:t xml:space="preserve">“certifies”</w:t>
      </w:r>
      <w:r>
        <w:t xml:space="preserve"> </w:t>
      </w:r>
      <w:r>
        <w:t xml:space="preserve">compliance; it is that CSW turns workload communication and inventory into evidence that the customer, the customer’s compliance team, and the customer’s assessor can review. This report describes which framework topics CSW supports, which it does not, what evidence artifacts CSW produces, and how often the customer should collect them. CSW does</w:t>
      </w:r>
      <w:r>
        <w:t xml:space="preserve"> </w:t>
      </w:r>
      <w:r>
        <w:rPr>
          <w:b/>
          <w:bCs/>
        </w:rPr>
        <w:t xml:space="preserve">not</w:t>
      </w:r>
      <w:r>
        <w:t xml:space="preserve"> </w:t>
      </w:r>
      <w:r>
        <w:t xml:space="preserve">replace the customer’s governance, policy, or assessor judgement, and this report is</w:t>
      </w:r>
      <w:r>
        <w:t xml:space="preserve"> </w:t>
      </w:r>
      <w:r>
        <w:rPr>
          <w:b/>
          <w:bCs/>
        </w:rPr>
        <w:t xml:space="preserve">not</w:t>
      </w:r>
      <w:r>
        <w:t xml:space="preserve"> </w:t>
      </w:r>
      <w:r>
        <w:t xml:space="preserve">a control attestation.</w:t>
      </w:r>
    </w:p>
    <w:bookmarkEnd w:id="13"/>
    <w:bookmarkStart w:id="14" w:name="suggested-csw-scope-pattern"/>
    <w:p>
      <w:pPr>
        <w:pStyle w:val="Heading2"/>
      </w:pPr>
      <w:r>
        <w:t xml:space="preserve">Suggested CSW Scope Pattern</w:t>
      </w:r>
    </w:p>
    <w:p>
      <w:pPr>
        <w:pStyle w:val="SourceCode"/>
      </w:pPr>
      <w:r>
        <w:rPr>
          <w:rStyle w:val="VerbatimChar"/>
        </w:rPr>
        <w:t xml:space="preserve">UK-Cyber-Essentials</w:t>
      </w:r>
      <w:r>
        <w:br/>
      </w:r>
      <w:r>
        <w:rPr>
          <w:rStyle w:val="VerbatimChar"/>
        </w:rPr>
        <w:t xml:space="preserve">├── Internet-Facing-Systems</w:t>
      </w:r>
      <w:r>
        <w:br/>
      </w:r>
      <w:r>
        <w:rPr>
          <w:rStyle w:val="VerbatimChar"/>
        </w:rPr>
        <w:t xml:space="preserve">├── Workload-Firewall-Scope</w:t>
      </w:r>
      <w:r>
        <w:br/>
      </w:r>
      <w:r>
        <w:rPr>
          <w:rStyle w:val="VerbatimChar"/>
        </w:rPr>
        <w:t xml:space="preserve">├── Secure-Configuration-Baseline</w:t>
      </w:r>
      <w:r>
        <w:br/>
      </w:r>
      <w:r>
        <w:rPr>
          <w:rStyle w:val="VerbatimChar"/>
        </w:rPr>
        <w:t xml:space="preserve">├── Patch-Evidence-Scope</w:t>
      </w:r>
      <w:r>
        <w:br/>
      </w:r>
      <w:r>
        <w:rPr>
          <w:rStyle w:val="VerbatimChar"/>
        </w:rPr>
        <w:t xml:space="preserve">└── Verification-Sample</w:t>
      </w:r>
    </w:p>
    <w:p>
      <w:pPr>
        <w:pStyle w:val="FirstParagraph"/>
      </w:pPr>
      <w:r>
        <w:t xml:space="preserve">This scope pattern should be validated with the customer’s architecture, application owners, compliance team, and assessor before it is used for formal evidence.</w:t>
      </w:r>
    </w:p>
    <w:bookmarkEnd w:id="14"/>
    <w:bookmarkStart w:id="15" w:name="in-scope-for-csw-evidence"/>
    <w:p>
      <w:pPr>
        <w:pStyle w:val="Heading2"/>
      </w:pPr>
      <w:r>
        <w:t xml:space="preserve">In Scope for CSW Evidence</w:t>
      </w:r>
    </w:p>
    <w:p>
      <w:pPr>
        <w:pStyle w:val="Compact"/>
        <w:numPr>
          <w:ilvl w:val="0"/>
          <w:numId w:val="1001"/>
        </w:numPr>
      </w:pPr>
      <w:r>
        <w:t xml:space="preserve">Category 1 - Firewalls (workload-level allowlist and default-deny)</w:t>
      </w:r>
    </w:p>
    <w:p>
      <w:pPr>
        <w:pStyle w:val="Compact"/>
        <w:numPr>
          <w:ilvl w:val="0"/>
          <w:numId w:val="1001"/>
        </w:numPr>
      </w:pPr>
      <w:r>
        <w:t xml:space="preserve">Category 2 - Secure Configuration (workspace baseline)</w:t>
      </w:r>
    </w:p>
    <w:p>
      <w:pPr>
        <w:pStyle w:val="Compact"/>
        <w:numPr>
          <w:ilvl w:val="0"/>
          <w:numId w:val="1001"/>
        </w:numPr>
      </w:pPr>
      <w:r>
        <w:t xml:space="preserve">Category 3 - Security Update Management (CVE + reachability)</w:t>
      </w:r>
    </w:p>
    <w:p>
      <w:pPr>
        <w:pStyle w:val="Compact"/>
        <w:numPr>
          <w:ilvl w:val="0"/>
          <w:numId w:val="1001"/>
        </w:numPr>
      </w:pPr>
      <w:r>
        <w:t xml:space="preserve">Technical Verification (CE+) - workload sample selection support</w:t>
      </w:r>
    </w:p>
    <w:bookmarkEnd w:id="15"/>
    <w:bookmarkStart w:id="16" w:name="Xaed999129ed4b1f11f99b5af2968248bad86dd6"/>
    <w:p>
      <w:pPr>
        <w:pStyle w:val="Heading2"/>
      </w:pPr>
      <w:r>
        <w:t xml:space="preserve">Out of Scope (Must Be Evidenced by Other Controls / Tools / Processes)</w:t>
      </w:r>
    </w:p>
    <w:p>
      <w:pPr>
        <w:pStyle w:val="Compact"/>
        <w:numPr>
          <w:ilvl w:val="0"/>
          <w:numId w:val="1002"/>
        </w:numPr>
      </w:pPr>
      <w:r>
        <w:t xml:space="preserve">Category 4 - User Access Control (identity layer)</w:t>
      </w:r>
    </w:p>
    <w:p>
      <w:pPr>
        <w:pStyle w:val="Compact"/>
        <w:numPr>
          <w:ilvl w:val="0"/>
          <w:numId w:val="1002"/>
        </w:numPr>
      </w:pPr>
      <w:r>
        <w:t xml:space="preserve">Category 5 - Malware Protection (endpoint)</w:t>
      </w:r>
    </w:p>
    <w:p>
      <w:pPr>
        <w:pStyle w:val="Compact"/>
        <w:numPr>
          <w:ilvl w:val="0"/>
          <w:numId w:val="1002"/>
        </w:numPr>
      </w:pPr>
      <w:r>
        <w:t xml:space="preserve">Cyber Essentials questionnaire submission</w:t>
      </w:r>
    </w:p>
    <w:p>
      <w:pPr>
        <w:pStyle w:val="Compact"/>
        <w:numPr>
          <w:ilvl w:val="0"/>
          <w:numId w:val="1002"/>
        </w:numPr>
      </w:pPr>
      <w:r>
        <w:t xml:space="preserve">IASME certification body decisions</w:t>
      </w:r>
    </w:p>
    <w:bookmarkEnd w:id="16"/>
    <w:bookmarkStart w:id="17" w:name="framework-topic-csw-capability-map"/>
    <w:p>
      <w:pPr>
        <w:pStyle w:val="Heading2"/>
      </w:pPr>
      <w:r>
        <w:t xml:space="preserve">Framework Topic → CSW Capability Map</w:t>
      </w:r>
    </w:p>
    <w:tbl>
      <w:tblPr>
        <w:tblStyle w:val="Table"/>
        <w:tblW w:type="pct" w:w="5000"/>
        <w:tblLayout w:type="fixed"/>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003366"/>
          </w:tcPr>
          <w:p>
            <w:pPr>
              <w:pStyle w:val="Compact"/>
            </w:pPr>
            <w:r>
              <w:rPr>
                <w:b/>
                <w:color w:val="FFFFFF"/>
              </w:rPr>
              <w:t xml:space="preserve">Framework topic</w:t>
            </w:r>
          </w:p>
        </w:tc>
        <w:tc>
          <w:tcPr>
            <w:shd w:val="clear" w:color="auto" w:fill="003366"/>
          </w:tcPr>
          <w:p>
            <w:pPr>
              <w:pStyle w:val="Compact"/>
            </w:pPr>
            <w:r>
              <w:rPr>
                <w:b/>
                <w:color w:val="FFFFFF"/>
              </w:rPr>
              <w:t xml:space="preserve">Coverage</w:t>
            </w:r>
          </w:p>
        </w:tc>
        <w:tc>
          <w:tcPr>
            <w:shd w:val="clear" w:color="auto" w:fill="003366"/>
          </w:tcPr>
          <w:p>
            <w:pPr>
              <w:pStyle w:val="Compact"/>
            </w:pPr>
            <w:r>
              <w:rPr>
                <w:b/>
                <w:color w:val="FFFFFF"/>
              </w:rPr>
              <w:t xml:space="preserve">CSW capability</w:t>
            </w:r>
          </w:p>
        </w:tc>
        <w:tc>
          <w:tcPr>
            <w:shd w:val="clear" w:color="auto" w:fill="003366"/>
          </w:tcPr>
          <w:p>
            <w:pPr>
              <w:pStyle w:val="Compact"/>
            </w:pPr>
            <w:r>
              <w:rPr>
                <w:b/>
                <w:color w:val="FFFFFF"/>
              </w:rPr>
              <w:t xml:space="preserve">Evidence artifact</w:t>
            </w:r>
          </w:p>
        </w:tc>
      </w:tr>
      <w:tr>
        <w:tc>
          <w:tcPr/>
          <w:p>
            <w:pPr>
              <w:pStyle w:val="Compact"/>
            </w:pPr>
            <w:r>
              <w:t xml:space="preserve">Category 1 - Firewalls (workload layer)</w:t>
            </w:r>
          </w:p>
        </w:tc>
        <w:tc>
          <w:tcPr>
            <w:shd w:val="clear" w:color="auto" w:fill="107C41"/>
          </w:tcPr>
          <w:p>
            <w:pPr>
              <w:pStyle w:val="Compact"/>
            </w:pPr>
            <w:r>
              <w:rPr>
                <w:b/>
                <w:color w:val="FFFFFF"/>
              </w:rPr>
              <w:t>Direct</w:t>
            </w:r>
          </w:p>
        </w:tc>
        <w:tc>
          <w:tcPr/>
          <w:p>
            <w:pPr>
              <w:pStyle w:val="Compact"/>
            </w:pPr>
            <w:r>
              <w:t xml:space="preserve">Policy workspace + default-deny + workload-to-workload allowlist</w:t>
            </w:r>
          </w:p>
        </w:tc>
        <w:tc>
          <w:tcPr/>
          <w:p>
            <w:pPr>
              <w:pStyle w:val="Compact"/>
            </w:pPr>
            <w:r>
              <w:t xml:space="preserve">Workspace snapshot showing firewall posture per workload</w:t>
            </w:r>
          </w:p>
        </w:tc>
      </w:tr>
      <w:tr>
        <w:tc>
          <w:tcPr>
            <w:shd w:val="clear" w:color="auto" w:fill="F2F2F2"/>
          </w:tcPr>
          <w:p>
            <w:pPr>
              <w:pStyle w:val="Compact"/>
            </w:pPr>
            <w:r>
              <w:t xml:space="preserve">Category 2 - Secure Configuration</w:t>
            </w:r>
          </w:p>
        </w:tc>
        <w:tc>
          <w:tcPr>
            <w:shd w:val="clear" w:color="auto" w:fill="107C41"/>
          </w:tcPr>
          <w:p>
            <w:pPr>
              <w:pStyle w:val="Compact"/>
            </w:pPr>
            <w:r>
              <w:rPr>
                <w:b/>
                <w:color w:val="FFFFFF"/>
              </w:rPr>
              <w:t>Direct</w:t>
            </w:r>
          </w:p>
        </w:tc>
        <w:tc>
          <w:tcPr>
            <w:shd w:val="clear" w:color="auto" w:fill="F2F2F2"/>
          </w:tcPr>
          <w:p>
            <w:pPr>
              <w:pStyle w:val="Compact"/>
            </w:pPr>
            <w:r>
              <w:t xml:space="preserve">Workspace baseline + change log</w:t>
            </w:r>
          </w:p>
        </w:tc>
        <w:tc>
          <w:tcPr>
            <w:shd w:val="clear" w:color="auto" w:fill="F2F2F2"/>
          </w:tcPr>
          <w:p>
            <w:pPr>
              <w:pStyle w:val="Compact"/>
            </w:pPr>
            <w:r>
              <w:t xml:space="preserve">Baseline policy workspace export + change-controlled exports</w:t>
            </w:r>
          </w:p>
        </w:tc>
      </w:tr>
      <w:tr>
        <w:tc>
          <w:tcPr/>
          <w:p>
            <w:pPr>
              <w:pStyle w:val="Compact"/>
            </w:pPr>
            <w:r>
              <w:t xml:space="preserve">Category 3 - Security Update Management</w:t>
            </w:r>
          </w:p>
        </w:tc>
        <w:tc>
          <w:tcPr>
            <w:shd w:val="clear" w:color="auto" w:fill="107C41"/>
          </w:tcPr>
          <w:p>
            <w:pPr>
              <w:pStyle w:val="Compact"/>
            </w:pPr>
            <w:r>
              <w:rPr>
                <w:b/>
                <w:color w:val="FFFFFF"/>
              </w:rPr>
              <w:t>Direct</w:t>
            </w:r>
          </w:p>
        </w:tc>
        <w:tc>
          <w:tcPr/>
          <w:p>
            <w:pPr>
              <w:pStyle w:val="Compact"/>
            </w:pPr>
            <w:r>
              <w:t xml:space="preserve">Reachability-weighted CVE evidence</w:t>
            </w:r>
          </w:p>
        </w:tc>
        <w:tc>
          <w:tcPr/>
          <w:p>
            <w:pPr>
              <w:pStyle w:val="Compact"/>
            </w:pPr>
            <w:r>
              <w:t xml:space="preserve">Prioritised remediation list with patch-due-date evidence</w:t>
            </w:r>
          </w:p>
        </w:tc>
      </w:tr>
      <w:tr>
        <w:tc>
          <w:tcPr>
            <w:shd w:val="clear" w:color="auto" w:fill="F2F2F2"/>
          </w:tcPr>
          <w:p>
            <w:pPr>
              <w:pStyle w:val="Compact"/>
            </w:pPr>
            <w:r>
              <w:t xml:space="preserve">Technical Verification (CE+) sampling</w:t>
            </w:r>
          </w:p>
        </w:tc>
        <w:tc>
          <w:tcPr>
            <w:shd w:val="clear" w:color="auto" w:fill="107C41"/>
          </w:tcPr>
          <w:p>
            <w:pPr>
              <w:pStyle w:val="Compact"/>
            </w:pPr>
            <w:r>
              <w:rPr>
                <w:b/>
                <w:color w:val="FFFFFF"/>
              </w:rPr>
              <w:t>Direct</w:t>
            </w:r>
          </w:p>
        </w:tc>
        <w:tc>
          <w:tcPr>
            <w:shd w:val="clear" w:color="auto" w:fill="F2F2F2"/>
          </w:tcPr>
          <w:p>
            <w:pPr>
              <w:pStyle w:val="Compact"/>
            </w:pPr>
            <w:r>
              <w:t xml:space="preserve">Workload inventory + reach summary for sampled hosts</w:t>
            </w:r>
          </w:p>
        </w:tc>
        <w:tc>
          <w:tcPr>
            <w:shd w:val="clear" w:color="auto" w:fill="F2F2F2"/>
          </w:tcPr>
          <w:p>
            <w:pPr>
              <w:pStyle w:val="Compact"/>
            </w:pPr>
            <w:r>
              <w:t xml:space="preserve">Sample-pack export for assessor</w:t>
            </w:r>
          </w:p>
        </w:tc>
      </w:tr>
    </w:tbl>
    <w:bookmarkEnd w:id="17"/>
    <w:bookmarkStart w:id="18" w:name="evidence-collection-approach"/>
    <w:p>
      <w:pPr>
        <w:pStyle w:val="Heading2"/>
      </w:pPr>
      <w:r>
        <w:t xml:space="preserve">Evidence Collection Approach</w:t>
      </w:r>
    </w:p>
    <w:p>
      <w:pPr>
        <w:pStyle w:val="FirstParagraph"/>
      </w:pPr>
      <w:r>
        <w:t xml:space="preserve">The table below describes per-topic evidence collection - what to collect, the CSW source area, and a suggested cadence. The cadence should be tuned to the customer’s audit cycle, regulatory cadence, and risk appetite.</w:t>
      </w:r>
    </w:p>
    <w:tbl>
      <w:tblPr>
        <w:tblStyle w:val="Table"/>
        <w:tblW w:type="pct" w:w="5000"/>
        <w:tblLayout w:type="fixed"/>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trPr>
        <w:tc>
          <w:tcPr>
            <w:shd w:val="clear" w:color="auto" w:fill="003366"/>
          </w:tcPr>
          <w:p>
            <w:pPr>
              <w:pStyle w:val="Compact"/>
            </w:pPr>
            <w:r>
              <w:rPr>
                <w:b/>
                <w:color w:val="FFFFFF"/>
              </w:rPr>
              <w:t xml:space="preserve">Topic</w:t>
            </w:r>
          </w:p>
        </w:tc>
        <w:tc>
          <w:tcPr>
            <w:shd w:val="clear" w:color="auto" w:fill="003366"/>
          </w:tcPr>
          <w:p>
            <w:pPr>
              <w:pStyle w:val="Compact"/>
            </w:pPr>
            <w:r>
              <w:rPr>
                <w:b/>
                <w:color w:val="FFFFFF"/>
              </w:rPr>
              <w:t xml:space="preserve">What to collect</w:t>
            </w:r>
          </w:p>
        </w:tc>
        <w:tc>
          <w:tcPr>
            <w:shd w:val="clear" w:color="auto" w:fill="003366"/>
          </w:tcPr>
          <w:p>
            <w:pPr>
              <w:pStyle w:val="Compact"/>
            </w:pPr>
            <w:r>
              <w:rPr>
                <w:b/>
                <w:color w:val="FFFFFF"/>
              </w:rPr>
              <w:t xml:space="preserve">CSW source</w:t>
            </w:r>
          </w:p>
        </w:tc>
        <w:tc>
          <w:tcPr>
            <w:shd w:val="clear" w:color="auto" w:fill="003366"/>
          </w:tcPr>
          <w:p>
            <w:pPr>
              <w:pStyle w:val="Compact"/>
            </w:pPr>
            <w:r>
              <w:rPr>
                <w:b/>
                <w:color w:val="FFFFFF"/>
              </w:rPr>
              <w:t xml:space="preserve">Suggested cadence</w:t>
            </w:r>
          </w:p>
        </w:tc>
      </w:tr>
      <w:tr>
        <w:tc>
          <w:tcPr/>
          <w:p>
            <w:pPr>
              <w:pStyle w:val="Compact"/>
            </w:pPr>
            <w:r>
              <w:t xml:space="preserve">Workload inventory</w:t>
            </w:r>
          </w:p>
        </w:tc>
        <w:tc>
          <w:tcPr/>
          <w:p>
            <w:pPr>
              <w:pStyle w:val="Compact"/>
            </w:pPr>
            <w:r>
              <w:t xml:space="preserve">Workloads in CE / CE+ certification scope</w:t>
            </w:r>
          </w:p>
        </w:tc>
        <w:tc>
          <w:tcPr/>
          <w:p>
            <w:pPr>
              <w:pStyle w:val="Compact"/>
            </w:pPr>
            <w:r>
              <w:t xml:space="preserve">Inventory + scope membership export</w:t>
            </w:r>
          </w:p>
        </w:tc>
        <w:tc>
          <w:tcPr/>
          <w:p>
            <w:pPr>
              <w:pStyle w:val="Compact"/>
            </w:pPr>
            <w:r>
              <w:t xml:space="preserve">Monthly</w:t>
            </w:r>
          </w:p>
        </w:tc>
      </w:tr>
      <w:tr>
        <w:tc>
          <w:tcPr>
            <w:shd w:val="clear" w:color="auto" w:fill="F2F2F2"/>
          </w:tcPr>
          <w:p>
            <w:pPr>
              <w:pStyle w:val="Compact"/>
            </w:pPr>
            <w:r>
              <w:t xml:space="preserve">Firewall posture per workload</w:t>
            </w:r>
          </w:p>
        </w:tc>
        <w:tc>
          <w:tcPr>
            <w:shd w:val="clear" w:color="auto" w:fill="F2F2F2"/>
          </w:tcPr>
          <w:p>
            <w:pPr>
              <w:pStyle w:val="Compact"/>
            </w:pPr>
            <w:r>
              <w:t xml:space="preserve">Default-deny and allowlist evidence</w:t>
            </w:r>
          </w:p>
        </w:tc>
        <w:tc>
          <w:tcPr>
            <w:shd w:val="clear" w:color="auto" w:fill="F2F2F2"/>
          </w:tcPr>
          <w:p>
            <w:pPr>
              <w:pStyle w:val="Compact"/>
            </w:pPr>
            <w:r>
              <w:t xml:space="preserve">Policy workspace export</w:t>
            </w:r>
          </w:p>
        </w:tc>
        <w:tc>
          <w:tcPr>
            <w:shd w:val="clear" w:color="auto" w:fill="F2F2F2"/>
          </w:tcPr>
          <w:p>
            <w:pPr>
              <w:pStyle w:val="Compact"/>
            </w:pPr>
            <w:r>
              <w:t xml:space="preserve">Quarterly + after each change</w:t>
            </w:r>
          </w:p>
        </w:tc>
      </w:tr>
      <w:tr>
        <w:tc>
          <w:tcPr/>
          <w:p>
            <w:pPr>
              <w:pStyle w:val="Compact"/>
            </w:pPr>
            <w:r>
              <w:t xml:space="preserve">Vulnerability + reachability</w:t>
            </w:r>
          </w:p>
        </w:tc>
        <w:tc>
          <w:tcPr/>
          <w:p>
            <w:pPr>
              <w:pStyle w:val="Compact"/>
            </w:pPr>
            <w:r>
              <w:t xml:space="preserve">CVE list weighted by reach across CE scope</w:t>
            </w:r>
          </w:p>
        </w:tc>
        <w:tc>
          <w:tcPr/>
          <w:p>
            <w:pPr>
              <w:pStyle w:val="Compact"/>
            </w:pPr>
            <w:r>
              <w:t xml:space="preserve">Vulnerability report scoped to UK-Cyber-Essentials</w:t>
            </w:r>
          </w:p>
        </w:tc>
        <w:tc>
          <w:tcPr/>
          <w:p>
            <w:pPr>
              <w:pStyle w:val="Compact"/>
            </w:pPr>
            <w:r>
              <w:t xml:space="preserve">Monthly (CE expects 14-day patching for critical/high)</w:t>
            </w:r>
          </w:p>
        </w:tc>
      </w:tr>
      <w:tr>
        <w:tc>
          <w:tcPr>
            <w:shd w:val="clear" w:color="auto" w:fill="F2F2F2"/>
          </w:tcPr>
          <w:p>
            <w:pPr>
              <w:pStyle w:val="Compact"/>
            </w:pPr>
            <w:r>
              <w:t xml:space="preserve">Verification sample pack</w:t>
            </w:r>
          </w:p>
        </w:tc>
        <w:tc>
          <w:tcPr>
            <w:shd w:val="clear" w:color="auto" w:fill="F2F2F2"/>
          </w:tcPr>
          <w:p>
            <w:pPr>
              <w:pStyle w:val="Compact"/>
            </w:pPr>
            <w:r>
              <w:t xml:space="preserve">Per-workload posture for assessor-selected sample</w:t>
            </w:r>
          </w:p>
        </w:tc>
        <w:tc>
          <w:tcPr>
            <w:shd w:val="clear" w:color="auto" w:fill="F2F2F2"/>
          </w:tcPr>
          <w:p>
            <w:pPr>
              <w:pStyle w:val="Compact"/>
            </w:pPr>
            <w:r>
              <w:t xml:space="preserve">Per-workload inventory, policy, and vulnerability extracts</w:t>
            </w:r>
          </w:p>
        </w:tc>
        <w:tc>
          <w:tcPr>
            <w:shd w:val="clear" w:color="auto" w:fill="F2F2F2"/>
          </w:tcPr>
          <w:p>
            <w:pPr>
              <w:pStyle w:val="Compact"/>
            </w:pPr>
            <w:r>
              <w:t xml:space="preserve">Per certification cycle</w:t>
            </w:r>
          </w:p>
        </w:tc>
      </w:tr>
    </w:tbl>
    <w:bookmarkEnd w:id="18"/>
    <w:bookmarkStart w:id="19" w:name="pov-workshop-approach"/>
    <w:p>
      <w:pPr>
        <w:pStyle w:val="Heading2"/>
      </w:pPr>
      <w:r>
        <w:t xml:space="preserve">POV / Workshop Approach</w:t>
      </w:r>
    </w:p>
    <w:p>
      <w:pPr>
        <w:pStyle w:val="Compact"/>
        <w:numPr>
          <w:ilvl w:val="0"/>
          <w:numId w:val="1003"/>
        </w:numPr>
      </w:pPr>
      <w:r>
        <w:t xml:space="preserve">Confirm the framework version and assessment cycle with the customer’s compliance team.</w:t>
      </w:r>
    </w:p>
    <w:p>
      <w:pPr>
        <w:pStyle w:val="Compact"/>
        <w:numPr>
          <w:ilvl w:val="0"/>
          <w:numId w:val="1003"/>
        </w:numPr>
      </w:pPr>
      <w:r>
        <w:t xml:space="preserve">Select one business service, regulated boundary, or critical workload group to start with; do not attempt to instrument the entire estate in the POV.</w:t>
      </w:r>
    </w:p>
    <w:p>
      <w:pPr>
        <w:pStyle w:val="Compact"/>
        <w:numPr>
          <w:ilvl w:val="0"/>
          <w:numId w:val="1003"/>
        </w:numPr>
      </w:pPr>
      <w:r>
        <w:t xml:space="preserve">Validate workload coverage and install sensors or configure supported connectors. Document the cannot-instrument register; this is itself evidence.</w:t>
      </w:r>
    </w:p>
    <w:p>
      <w:pPr>
        <w:pStyle w:val="Compact"/>
        <w:numPr>
          <w:ilvl w:val="0"/>
          <w:numId w:val="1003"/>
        </w:numPr>
      </w:pPr>
      <w:r>
        <w:t xml:space="preserve">Apply labels for application, environment, owner, data class, criticality, compliance scope, and any framework-specific tags (e.g. </w:t>
      </w:r>
      <w:r>
        <w:rPr>
          <w:rStyle w:val="VerbatimChar"/>
        </w:rPr>
        <w:t xml:space="preserve">tenant</w:t>
      </w:r>
      <w:r>
        <w:t xml:space="preserve">,</w:t>
      </w:r>
      <w:r>
        <w:t xml:space="preserve"> </w:t>
      </w:r>
      <w:r>
        <w:rPr>
          <w:rStyle w:val="VerbatimChar"/>
        </w:rPr>
        <w:t xml:space="preserve">prototype</w:t>
      </w:r>
      <w:r>
        <w:t xml:space="preserve">,</w:t>
      </w:r>
      <w:r>
        <w:t xml:space="preserve"> </w:t>
      </w:r>
      <w:r>
        <w:rPr>
          <w:rStyle w:val="VerbatimChar"/>
        </w:rPr>
        <w:t xml:space="preserve">isa_level</w:t>
      </w:r>
      <w:r>
        <w:t xml:space="preserve">,</w:t>
      </w:r>
      <w:r>
        <w:t xml:space="preserve"> </w:t>
      </w:r>
      <w:r>
        <w:rPr>
          <w:rStyle w:val="VerbatimChar"/>
        </w:rPr>
        <w:t xml:space="preserve">npi</w:t>
      </w:r>
      <w:r>
        <w:t xml:space="preserve">,</w:t>
      </w:r>
      <w:r>
        <w:t xml:space="preserve"> </w:t>
      </w:r>
      <w:r>
        <w:rPr>
          <w:rStyle w:val="VerbatimChar"/>
        </w:rPr>
        <w:t xml:space="preserve">cui</w:t>
      </w:r>
      <w:r>
        <w:t xml:space="preserve">,</w:t>
      </w:r>
      <w:r>
        <w:t xml:space="preserve"> </w:t>
      </w:r>
      <w:r>
        <w:rPr>
          <w:rStyle w:val="VerbatimChar"/>
        </w:rPr>
        <w:t xml:space="preserve">ephi</w:t>
      </w:r>
      <w:r>
        <w:t xml:space="preserve">).</w:t>
      </w:r>
    </w:p>
    <w:p>
      <w:pPr>
        <w:pStyle w:val="Compact"/>
        <w:numPr>
          <w:ilvl w:val="0"/>
          <w:numId w:val="1003"/>
        </w:numPr>
      </w:pPr>
      <w:r>
        <w:t xml:space="preserve">Observe flows over a representative business window. Minimum two weeks; longer if the customer has month-end, quarterly, or seasonal cycles relevant to the scope.</w:t>
      </w:r>
    </w:p>
    <w:p>
      <w:pPr>
        <w:pStyle w:val="Compact"/>
        <w:numPr>
          <w:ilvl w:val="0"/>
          <w:numId w:val="1003"/>
        </w:numPr>
      </w:pPr>
      <w:r>
        <w:t xml:space="preserve">Use ADM to generate a candidate policy. Review with the application owner. Run in Simulation mode for at least two weeks before any enforcement.</w:t>
      </w:r>
    </w:p>
    <w:p>
      <w:pPr>
        <w:pStyle w:val="Compact"/>
        <w:numPr>
          <w:ilvl w:val="0"/>
          <w:numId w:val="1003"/>
        </w:numPr>
      </w:pPr>
      <w:r>
        <w:t xml:space="preserve">Package inventory, scope, flows, policy, exceptions, and known gaps as the evidence output. Cross-reference this report’s evidence collection table with the customer’s existing audit work-papers.</w:t>
      </w:r>
    </w:p>
    <w:bookmarkEnd w:id="19"/>
    <w:bookmarkStart w:id="20" w:name="boundaries-and-complementary-controls"/>
    <w:p>
      <w:pPr>
        <w:pStyle w:val="Heading2"/>
      </w:pPr>
      <w:r>
        <w:t xml:space="preserve">Boundaries and Complementary Controls</w:t>
      </w:r>
    </w:p>
    <w:p>
      <w:pPr>
        <w:pStyle w:val="FirstParagraph"/>
      </w:pPr>
      <w:r>
        <w:t xml:space="preserve">CSW does not replace the Cyber Essentials questionnaire submission, endpoint malware protection, user access control / identity governance, unsupported-software governance, the assessor’s CE+ verification testing, or the IASME certification body decision.</w:t>
      </w:r>
    </w:p>
    <w:bookmarkEnd w:id="20"/>
    <w:bookmarkStart w:id="21" w:name="assessor-auditor-caveat"/>
    <w:p>
      <w:pPr>
        <w:pStyle w:val="Heading2"/>
      </w:pPr>
      <w:r>
        <w:t xml:space="preserve">Assessor / Auditor Caveat</w:t>
      </w:r>
    </w:p>
    <w:p>
      <w:pPr>
        <w:pStyle w:val="FirstParagraph"/>
      </w:pPr>
      <w:r>
        <w:t xml:space="preserve">CSW provides technical evidence inputs. The customer’s qualified assessor, auditor, certifying body, or regulator determines compliance status. Validate all framework-topic mappings, control IDs, paragraph references, and section numbers in this report against the current official framework text. If the customer is being assessed against a version other than the one referenced in the framework version note above, revalidate before use.</w:t>
      </w:r>
    </w:p>
    <w:bookmarkEnd w:id="21"/>
    <w:bookmarkStart w:id="22"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UK Cyber Essentials Plus Compliance Report</dc:title>
  <dc:creator/>
  <cp:keywords/>
  <dcterms:created xsi:type="dcterms:W3CDTF">2026-10-05T22:26:06Z</dcterms:created>
  <dcterms:modified xsi:type="dcterms:W3CDTF">2026-10-05T22:26:06Z</dcterms:modified>
</cp:coreProperties>
</file>

<file path=docProps/custom.xml><?xml version="1.0" encoding="utf-8"?>
<Properties xmlns="http://schemas.openxmlformats.org/officeDocument/2006/custom-properties" xmlns:vt="http://schemas.openxmlformats.org/officeDocument/2006/docPropsVTypes"/>
</file>