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e16972c9cf2b86044a08f782589fc9c5209d7b"/>
    <w:p>
      <w:pPr>
        <w:pStyle w:val="Heading1"/>
      </w:pPr>
      <w:r>
        <w:t xml:space="preserve">CSW Compliance Mapping — Live Gartner Review Companion Guide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Nadir ·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keep this open on a second screen during the live Gartner call</w:t>
      </w:r>
      <w:r>
        <w:t xml:space="preserve"> </w:t>
      </w:r>
      <w:r>
        <w:rPr>
          <w:b/>
          <w:bCs/>
        </w:rPr>
        <w:t xml:space="preserve">Showcasing:</w:t>
      </w:r>
      <w:r>
        <w:t xml:space="preserve"> </w:t>
      </w:r>
      <w:r>
        <w:t xml:space="preserve">PCI DSS v4.0 · NERC CIP · HIPAA Security Rule compliance reports</w:t>
      </w:r>
      <w:r>
        <w:t xml:space="preserve"> </w:t>
      </w:r>
      <w:r>
        <w:rPr>
          <w:b/>
          <w:bCs/>
        </w:rPr>
        <w:t xml:space="preserve">Golden rule for the whole call:</w:t>
      </w:r>
      <w:r>
        <w:t xml:space="preserve"> </w:t>
      </w:r>
      <w:r>
        <w:rPr>
          <w:i/>
          <w:iCs/>
        </w:rPr>
        <w:t xml:space="preserve">CSW turns workload communication and inventory into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evidence</w:t>
      </w:r>
      <w:r>
        <w:rPr>
          <w:i/>
          <w:iCs/>
        </w:rPr>
        <w:t xml:space="preserve"> </w:t>
      </w:r>
      <w:r>
        <w:rPr>
          <w:i/>
          <w:iCs/>
        </w:rPr>
        <w:t xml:space="preserve">an assessor can review. It does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certify or "make you" compliant.</w:t>
      </w:r>
      <w:r>
        <w:t xml:space="preserve"> </w:t>
      </w:r>
      <w:r>
        <w:t xml:space="preserve">Say this early; it is what earns analyst credibility.</w:t>
      </w:r>
    </w:p>
    <w:p>
      <w:r>
        <w:pict>
          <v:rect style="width:0;height:1.5pt" o:hralign="center" o:hrstd="t" o:hr="t"/>
        </w:pict>
      </w:r>
    </w:p>
    <w:bookmarkStart w:id="9" w:name="X31e07a23707ae30f115a0b49ca99c28fb3b74fd"/>
    <w:p>
      <w:pPr>
        <w:pStyle w:val="Heading2"/>
      </w:pPr>
      <w:r>
        <w:t xml:space="preserve">0. Pre-call setup (do this 5 minutes before)</w:t>
      </w:r>
    </w:p>
    <w:p>
      <w:pPr>
        <w:pStyle w:val="Compact"/>
        <w:numPr>
          <w:ilvl w:val="0"/>
          <w:numId w:val="1001"/>
        </w:numPr>
      </w:pPr>
      <w:r>
        <w:t xml:space="preserve">Open these files in this order, in separate tabs: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(the landing page — shows the full 34-framework library)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PCI-DSS-v4/CSW-PCI-DSS-Compliance-Report.pdf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NERC-CIP/CSW-NERC-CIP-Compliance-Report.pdf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HIPAA/CSW-HIPAA-Compliance-Report.pdf</w:t>
      </w:r>
    </w:p>
    <w:p>
      <w:pPr>
        <w:pStyle w:val="Compact"/>
        <w:numPr>
          <w:ilvl w:val="1"/>
          <w:numId w:val="1002"/>
        </w:numPr>
      </w:pPr>
      <w:r>
        <w:t xml:space="preserve">One</w:t>
      </w:r>
      <w:r>
        <w:t xml:space="preserve"> </w:t>
      </w:r>
      <w:r>
        <w:rPr>
          <w:b/>
          <w:bCs/>
        </w:rPr>
        <w:t xml:space="preserve">Technical Runbook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PCI-DSS-v4/CSW-PCI-DSS-Technical-Runbook.pdf</w:t>
      </w:r>
      <w:r>
        <w:t xml:space="preserve">) to prove depth if asked</w:t>
      </w:r>
    </w:p>
    <w:p>
      <w:pPr>
        <w:pStyle w:val="Compact"/>
        <w:numPr>
          <w:ilvl w:val="0"/>
          <w:numId w:val="1001"/>
        </w:numPr>
      </w:pPr>
      <w:r>
        <w:t xml:space="preserve">Have the</w:t>
      </w:r>
      <w:r>
        <w:t xml:space="preserve"> </w:t>
      </w:r>
      <w:r>
        <w:rPr>
          <w:b/>
          <w:bCs/>
        </w:rPr>
        <w:t xml:space="preserve">coverage legend</w:t>
      </w:r>
      <w:r>
        <w:t xml:space="preserve"> </w:t>
      </w:r>
      <w:r>
        <w:t xml:space="preserve">(Section 2) visible — you will be asked what the colors mean.</w:t>
      </w:r>
    </w:p>
    <w:p>
      <w:pPr>
        <w:pStyle w:val="Compact"/>
        <w:numPr>
          <w:ilvl w:val="0"/>
          <w:numId w:val="1001"/>
        </w:numPr>
      </w:pPr>
      <w:r>
        <w:t xml:space="preserve">Share the</w:t>
      </w:r>
      <w:r>
        <w:t xml:space="preserve"> </w:t>
      </w:r>
      <w:r>
        <w:rPr>
          <w:b/>
          <w:bCs/>
        </w:rPr>
        <w:t xml:space="preserve">specific tab</w:t>
      </w:r>
      <w:r>
        <w:t xml:space="preserve">, not the whole desktop. Zoom to ~125% so tables are readable on the analyst's screen.</w:t>
      </w:r>
    </w:p>
    <w:p>
      <w:pPr>
        <w:pStyle w:val="Compact"/>
        <w:numPr>
          <w:ilvl w:val="0"/>
          <w:numId w:val="1001"/>
        </w:numPr>
      </w:pPr>
      <w:r>
        <w:t xml:space="preserve">Have one sentence ready if screen-share fails: "The library maps CSW evidence to 34 frameworks; I'll walk three."</w:t>
      </w:r>
    </w:p>
    <w:p>
      <w:r>
        <w:pict>
          <v:rect style="width:0;height:1.5pt" o:hralign="center" o:hrstd="t" o:hr="t"/>
        </w:pict>
      </w:r>
    </w:p>
    <w:bookmarkEnd w:id="9"/>
    <w:bookmarkStart w:id="10" w:name="X00e4669cb959f5ed215c6c5e8423a08caaaf4c0"/>
    <w:p>
      <w:pPr>
        <w:pStyle w:val="Heading2"/>
      </w:pPr>
      <w:r>
        <w:t xml:space="preserve">1. Opening frame (60–90 seconds, say this once)</w:t>
      </w:r>
    </w:p>
    <w:p>
      <w:pPr>
        <w:pStyle w:val="BlockText"/>
      </w:pPr>
      <w:r>
        <w:t xml:space="preserve">"This is a Cisco Secure Workload compliance-mapping library —</w:t>
      </w:r>
      <w:r>
        <w:t xml:space="preserve"> </w:t>
      </w:r>
      <w:r>
        <w:rPr>
          <w:b/>
          <w:bCs/>
        </w:rPr>
        <w:t xml:space="preserve">34 frameworks</w:t>
      </w:r>
      <w:r>
        <w:t xml:space="preserve">, each with two documents: a</w:t>
      </w:r>
      <w:r>
        <w:t xml:space="preserve"> </w:t>
      </w:r>
      <w:r>
        <w:rPr>
          <w:b/>
          <w:bCs/>
        </w:rPr>
        <w:t xml:space="preserve">customer-facing report</w:t>
      </w:r>
      <w:r>
        <w:t xml:space="preserve"> </w:t>
      </w:r>
      <w:r>
        <w:t xml:space="preserve">for compliance and audit teams, and a</w:t>
      </w:r>
      <w:r>
        <w:t xml:space="preserve"> </w:t>
      </w:r>
      <w:r>
        <w:rPr>
          <w:b/>
          <w:bCs/>
        </w:rPr>
        <w:t xml:space="preserve">technical runbook</w:t>
      </w:r>
      <w:r>
        <w:t xml:space="preserve"> </w:t>
      </w:r>
      <w:r>
        <w:t xml:space="preserve">for the engineers. Every framework ships as editable DOCX, a review PDF, and browsable HTML.</w:t>
      </w:r>
    </w:p>
    <w:p>
      <w:pPr>
        <w:pStyle w:val="BlockText"/>
      </w:pPr>
      <w:r>
        <w:t xml:space="preserve">The honest positioning — and the part your clients care about — is this: CSW doesn't certify compliance. It turns</w:t>
      </w:r>
      <w:r>
        <w:t xml:space="preserve"> </w:t>
      </w:r>
      <w:r>
        <w:rPr>
          <w:b/>
          <w:bCs/>
        </w:rPr>
        <w:t xml:space="preserve">workload-to-workload communication, inventory, and vulnerability data into assessor-ready evidence</w:t>
      </w:r>
      <w:r>
        <w:t xml:space="preserve">, mapped control-by-control, with a suggested collection cadence. The assessor still makes the call; we make their evidence trivial to produce."</w:t>
      </w:r>
    </w:p>
    <w:p>
      <w:pPr>
        <w:pStyle w:val="FirstParagraph"/>
      </w:pPr>
      <w:r>
        <w:t xml:space="preserve">Why this wins with Gartner: analysts reward</w:t>
      </w:r>
      <w:r>
        <w:t xml:space="preserve"> </w:t>
      </w:r>
      <w:r>
        <w:rPr>
          <w:b/>
          <w:bCs/>
        </w:rPr>
        <w:t xml:space="preserve">honest scope boundaries</w:t>
      </w:r>
      <w:r>
        <w:t xml:space="preserve"> </w:t>
      </w:r>
      <w:r>
        <w:t xml:space="preserve">over "compliance-in-a-box" claims. Lead with the limitation and you own the room.</w:t>
      </w:r>
    </w:p>
    <w:p>
      <w:r>
        <w:pict>
          <v:rect style="width:0;height:1.5pt" o:hralign="center" o:hrstd="t" o:hr="t"/>
        </w:pict>
      </w:r>
    </w:p>
    <w:bookmarkEnd w:id="10"/>
    <w:bookmarkStart w:id="11" w:name="Xc0939d3d4c54fe596351407ee02facdb2b36d3f"/>
    <w:p>
      <w:pPr>
        <w:pStyle w:val="Heading2"/>
      </w:pPr>
      <w:r>
        <w:t xml:space="preserve">2. The coverage legend (explain before the first table)</w:t>
      </w:r>
    </w:p>
    <w:p>
      <w:pPr>
        <w:pStyle w:val="FirstParagraph"/>
      </w:pPr>
      <w:r>
        <w:t xml:space="preserve">Every report color-codes each control row by how much evidence CSW produces: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Means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Full Coverage</w:t>
            </w:r>
          </w:p>
        </w:tc>
        <w:tc>
          <w:tcPr/>
          <w:p>
            <w:pPr>
              <w:pStyle w:val="Compact"/>
            </w:pPr>
            <w:r>
              <w:t xml:space="preserve">CSW produces the primary evidence artifact for this control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Partial Coverage</w:t>
            </w:r>
          </w:p>
        </w:tc>
        <w:tc>
          <w:tcPr/>
          <w:p>
            <w:pPr>
              <w:pStyle w:val="Compact"/>
            </w:pPr>
            <w:r>
              <w:t xml:space="preserve">CSW produces evidence that sits</w:t>
            </w:r>
            <w:r>
              <w:t xml:space="preserve"> </w:t>
            </w:r>
            <w:r>
              <w:rPr>
                <w:i/>
                <w:iCs/>
              </w:rPr>
              <w:t xml:space="preserve">next to</w:t>
            </w:r>
            <w:r>
              <w:t xml:space="preserve"> </w:t>
            </w:r>
            <w:r>
              <w:t xml:space="preserve">another control/tool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Evidence Required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Out of scope</w:t>
            </w:r>
          </w:p>
        </w:tc>
        <w:tc>
          <w:tcPr/>
          <w:p>
            <w:pPr>
              <w:pStyle w:val="Compact"/>
            </w:pPr>
            <w:r>
              <w:t xml:space="preserve">CSW has no record; the customer evidences it elsewhere (policy, HR, physical, crypto, identity)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Say explicitly:</w:t>
      </w:r>
      <w:r>
        <w:t xml:space="preserve"> </w:t>
      </w:r>
      <w:r>
        <w:t xml:space="preserve">"Green means CSW</w:t>
      </w:r>
      <w:r>
        <w:t xml:space="preserve"> </w:t>
      </w:r>
      <w:r>
        <w:rPr>
          <w:i/>
          <w:iCs/>
        </w:rPr>
        <w:t xml:space="preserve">produces the artifact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that the control is automatically passed. That distinction is deliberate."</w:t>
      </w:r>
    </w:p>
    <w:p>
      <w:r>
        <w:pict>
          <v:rect style="width:0;height:1.5pt" o:hralign="center" o:hrstd="t" o:hr="t"/>
        </w:pict>
      </w:r>
    </w:p>
    <w:bookmarkEnd w:id="11"/>
    <w:bookmarkStart w:id="15" w:name="X226a1d10bef52f0686ba3684a2576f6610dbc26"/>
    <w:p>
      <w:pPr>
        <w:pStyle w:val="Heading2"/>
      </w:pPr>
      <w:r>
        <w:t xml:space="preserve">3. Report walkthroughs — Open → Show → Say → Expect</w:t>
      </w:r>
    </w:p>
    <w:bookmarkStart w:id="12" w:name="Xfb9ca72f1e58d9c4e68630b4ed53f5faee6fbd2"/>
    <w:p>
      <w:pPr>
        <w:pStyle w:val="Heading3"/>
      </w:pPr>
      <w:r>
        <w:t xml:space="preserve">3A. PCI DSS v4.0</w:t>
      </w:r>
      <w:r>
        <w:t xml:space="preserve"> </w:t>
      </w:r>
      <w:r>
        <w:rPr>
          <w:i/>
          <w:iCs/>
        </w:rPr>
        <w:t xml:space="preserve">(≈5 min)</w:t>
      </w:r>
    </w:p>
    <w:p>
      <w:pPr>
        <w:pStyle w:val="FirstParagraph"/>
      </w:pPr>
      <w:r>
        <w:rPr>
          <w:b/>
          <w:bCs/>
        </w:rPr>
        <w:t xml:space="preserve">Open:</w:t>
      </w:r>
      <w:r>
        <w:t xml:space="preserve"> </w:t>
      </w:r>
      <w:r>
        <w:rPr>
          <w:rStyle w:val="VerbatimChar"/>
        </w:rPr>
        <w:t xml:space="preserve">CSW-PCI-DSS-Compliance-Report.pdf</w:t>
      </w:r>
    </w:p>
    <w:p>
      <w:pPr>
        <w:pStyle w:val="BodyText"/>
      </w:pPr>
      <w:r>
        <w:rPr>
          <w:b/>
          <w:bCs/>
        </w:rPr>
        <w:t xml:space="preserve">Show 1 — Control Coverage Summary table.</w:t>
      </w:r>
      <w:r>
        <w:t xml:space="preserve"> </w:t>
      </w:r>
      <w:r>
        <w:rPr>
          <w:i/>
          <w:iCs/>
        </w:rPr>
        <w:t xml:space="preserve">Say:</w:t>
      </w:r>
      <w:r>
        <w:t xml:space="preserve"> </w:t>
      </w:r>
      <w:r>
        <w:t xml:space="preserve">"CSW directly supports the five requirements most cited in PCI findings —</w:t>
      </w:r>
      <w:r>
        <w:t xml:space="preserve"> </w:t>
      </w:r>
      <w:r>
        <w:rPr>
          <w:b/>
          <w:bCs/>
        </w:rPr>
        <w:t xml:space="preserve">Req 1 network controls, 6 vulnerability mgmt, 7 access, 10 logging/monitoring, 11 security testing</w:t>
      </w:r>
      <w:r>
        <w:t xml:space="preserve">. Workload-level micro-segmentation isolates the CDE at the OS, not just the perimeter — which is the QSA's main lateral-movement concern."</w:t>
      </w:r>
    </w:p>
    <w:p>
      <w:pPr>
        <w:pStyle w:val="BodyText"/>
      </w:pPr>
      <w:r>
        <w:rPr>
          <w:b/>
          <w:bCs/>
        </w:rPr>
        <w:t xml:space="preserve">Show 2 — CDE scope segmentation table</w:t>
      </w:r>
      <w:r>
        <w:t xml:space="preserve"> </w:t>
      </w:r>
      <w:r>
        <w:t xml:space="preserve">(CDE / CDE-Connected / Out-of-Scope / Third-Party Processors).</w:t>
      </w:r>
      <w:r>
        <w:t xml:space="preserve"> </w:t>
      </w:r>
      <w:r>
        <w:rPr>
          <w:i/>
          <w:iCs/>
        </w:rPr>
        <w:t xml:space="preserve">Say:</w:t>
      </w:r>
      <w:r>
        <w:t xml:space="preserve"> </w:t>
      </w:r>
      <w:r>
        <w:t xml:space="preserve">"This is how we scope the cardholder data environment and</w:t>
      </w:r>
      <w:r>
        <w:t xml:space="preserve"> </w:t>
      </w:r>
      <w:r>
        <w:rPr>
          <w:i/>
          <w:iCs/>
        </w:rPr>
        <w:t xml:space="preserve">prove</w:t>
      </w:r>
      <w:r>
        <w:t xml:space="preserve"> </w:t>
      </w:r>
      <w:r>
        <w:t xml:space="preserve">isolation with ADM — default-deny inbound, allowlist-only outbound."</w:t>
      </w:r>
    </w:p>
    <w:p>
      <w:pPr>
        <w:pStyle w:val="BodyText"/>
      </w:pPr>
      <w:r>
        <w:rPr>
          <w:b/>
          <w:bCs/>
        </w:rPr>
        <w:t xml:space="preserve">Show 3 — QSA Evidence Package table.</w:t>
      </w:r>
      <w:r>
        <w:t xml:space="preserve"> </w:t>
      </w:r>
      <w:r>
        <w:rPr>
          <w:i/>
          <w:iCs/>
        </w:rPr>
        <w:t xml:space="preserve">Say:</w:t>
      </w:r>
      <w:r>
        <w:t xml:space="preserve"> </w:t>
      </w:r>
      <w:r>
        <w:t xml:space="preserve">"Every row is an export a QSA can request directly — policy export, flow logs, vuln reports — with a frequency. That's the time-saver."</w:t>
      </w:r>
    </w:p>
    <w:p>
      <w:pPr>
        <w:pStyle w:val="BodyText"/>
      </w:pPr>
      <w:r>
        <w:rPr>
          <w:b/>
          <w:bCs/>
        </w:rPr>
        <w:t xml:space="preserve">Honest boundary (say it):</w:t>
      </w:r>
      <w:r>
        <w:t xml:space="preserve"> </w:t>
      </w:r>
      <w:r>
        <w:t xml:space="preserve">"Req 3/4 encryption, Req 8 identity/MFA, Req 9 physical, Req 12 policy are</w:t>
      </w:r>
      <w:r>
        <w:t xml:space="preserve"> </w:t>
      </w:r>
      <w:r>
        <w:rPr>
          <w:b/>
          <w:bCs/>
        </w:rPr>
        <w:t xml:space="preserve">Evidence Required</w:t>
      </w:r>
      <w:r>
        <w:t xml:space="preserve"> </w:t>
      </w:r>
      <w:r>
        <w:t xml:space="preserve">— not CSW. We show that in red."</w:t>
      </w:r>
    </w:p>
    <w:bookmarkEnd w:id="12"/>
    <w:bookmarkStart w:id="13" w:name="Xe1b670b74b7c4ebbd6ce9aa6e59ac87058e0a81"/>
    <w:p>
      <w:pPr>
        <w:pStyle w:val="Heading3"/>
      </w:pPr>
      <w:r>
        <w:t xml:space="preserve">3B. NERC CIP</w:t>
      </w:r>
      <w:r>
        <w:t xml:space="preserve"> </w:t>
      </w:r>
      <w:r>
        <w:rPr>
          <w:i/>
          <w:iCs/>
        </w:rPr>
        <w:t xml:space="preserve">(≈5 min — the IT/OT framing is everything)</w:t>
      </w:r>
    </w:p>
    <w:p>
      <w:pPr>
        <w:pStyle w:val="FirstParagraph"/>
      </w:pPr>
      <w:r>
        <w:rPr>
          <w:b/>
          <w:bCs/>
        </w:rPr>
        <w:t xml:space="preserve">Open:</w:t>
      </w:r>
      <w:r>
        <w:t xml:space="preserve"> </w:t>
      </w:r>
      <w:r>
        <w:rPr>
          <w:rStyle w:val="VerbatimChar"/>
        </w:rPr>
        <w:t xml:space="preserve">CSW-NERC-CIP-Compliance-Report.pdf</w:t>
      </w:r>
    </w:p>
    <w:p>
      <w:pPr>
        <w:pStyle w:val="BodyText"/>
      </w:pPr>
      <w:r>
        <w:rPr>
          <w:b/>
          <w:bCs/>
        </w:rPr>
        <w:t xml:space="preserve">Show 1 — Compliance Posture Summary</w:t>
      </w:r>
      <w:r>
        <w:t xml:space="preserve"> </w:t>
      </w:r>
      <w:r>
        <w:t xml:space="preserve">(CIP-002 → CIP-014).</w:t>
      </w:r>
      <w:r>
        <w:t xml:space="preserve"> </w:t>
      </w:r>
      <w:r>
        <w:rPr>
          <w:i/>
          <w:iCs/>
        </w:rPr>
        <w:t xml:space="preserve">Say:</w:t>
      </w:r>
      <w:r>
        <w:t xml:space="preserve"> </w:t>
      </w:r>
      <w:r>
        <w:t xml:space="preserve">"Critical framing: CSW is the</w:t>
      </w:r>
      <w:r>
        <w:t xml:space="preserve"> </w:t>
      </w:r>
      <w:r>
        <w:rPr>
          <w:b/>
          <w:bCs/>
        </w:rPr>
        <w:t xml:space="preserve">IT-side</w:t>
      </w:r>
      <w:r>
        <w:t xml:space="preserve"> </w:t>
      </w:r>
      <w:r>
        <w:t xml:space="preserve">evidence engine. It is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CIP-005 electronic security perimeter (IT-side), CIP-007 ports/services &amp; monitoring, and CIP-010 configuration baseline &amp; vuln assessment</w:t>
      </w:r>
      <w:r>
        <w:t xml:space="preserve"> </w:t>
      </w:r>
      <w:r>
        <w:t xml:space="preserve">— the audit-heavy ones. It is</w:t>
      </w:r>
      <w:r>
        <w:t xml:space="preserve"> </w:t>
      </w:r>
      <w:r>
        <w:rPr>
          <w:b/>
          <w:bCs/>
        </w:rPr>
        <w:t xml:space="preserve">Supporting</w:t>
      </w:r>
      <w:r>
        <w:t xml:space="preserve"> </w:t>
      </w:r>
      <w:r>
        <w:t xml:space="preserve">on CIP-002/003/009/011, and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for CIP-004 personnel, CIP-006/014 physical."</w:t>
      </w:r>
    </w:p>
    <w:p>
      <w:pPr>
        <w:pStyle w:val="BodyText"/>
      </w:pPr>
      <w:r>
        <w:rPr>
          <w:b/>
          <w:bCs/>
        </w:rPr>
        <w:t xml:space="preserve">Show 2 — Control Coverage Summary</w:t>
      </w:r>
      <w:r>
        <w:t xml:space="preserve"> </w:t>
      </w:r>
      <w:r>
        <w:t xml:space="preserve">(what CSW produces / what the entity still files).</w:t>
      </w:r>
      <w:r>
        <w:t xml:space="preserve"> </w:t>
      </w:r>
      <w:r>
        <w:rPr>
          <w:i/>
          <w:iCs/>
        </w:rPr>
        <w:t xml:space="preserve">Say:</w:t>
      </w:r>
      <w:r>
        <w:t xml:space="preserve"> </w:t>
      </w:r>
      <w:r>
        <w:t xml:space="preserve">"CIP-010 is the standout — a</w:t>
      </w:r>
      <w:r>
        <w:t xml:space="preserve"> </w:t>
      </w:r>
      <w:r>
        <w:rPr>
          <w:b/>
          <w:bCs/>
        </w:rPr>
        <w:t xml:space="preserve">daily software and listening-port baseline with diff and disposition</w:t>
      </w:r>
      <w:r>
        <w:t xml:space="preserve">. A change seen here with no change ticket is your unauthorized-change candidate."</w:t>
      </w:r>
    </w:p>
    <w:p>
      <w:pPr>
        <w:pStyle w:val="BodyText"/>
      </w:pPr>
      <w:r>
        <w:rPr>
          <w:b/>
          <w:bCs/>
        </w:rPr>
        <w:t xml:space="preserve">Honest boundary (say it, unprompted):</w:t>
      </w:r>
      <w:r>
        <w:t xml:space="preserve"> </w:t>
      </w:r>
      <w:r>
        <w:t xml:space="preserve">"CSW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Electronic Access Point firewall, and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touch the</w:t>
      </w:r>
      <w:r>
        <w:t xml:space="preserve"> </w:t>
      </w:r>
      <w:r>
        <w:rPr>
          <w:b/>
          <w:bCs/>
        </w:rPr>
        <w:t xml:space="preserve">OT device layer</w:t>
      </w:r>
      <w:r>
        <w:t xml:space="preserve"> </w:t>
      </w:r>
      <w:r>
        <w:t xml:space="preserve">— PLCs, RTUs, protocols like DNP3/Modbus. That's an OT-native tool like</w:t>
      </w:r>
      <w:r>
        <w:t xml:space="preserve"> </w:t>
      </w:r>
      <w:r>
        <w:rPr>
          <w:b/>
          <w:bCs/>
        </w:rPr>
        <w:t xml:space="preserve">Cyber Vision</w:t>
      </w:r>
      <w:r>
        <w:t xml:space="preserve">. CSW covers the IT-side workloads: historians, jump hosts, the IT/OT DMZ."</w:t>
      </w:r>
      <w:r>
        <w:t xml:space="preserve"> </w:t>
      </w:r>
      <w:r>
        <w:rPr>
          <w:i/>
          <w:iCs/>
        </w:rPr>
        <w:t xml:space="preserve">(This honesty is exactly what a Gartner analyst is probing for.)</w:t>
      </w:r>
    </w:p>
    <w:bookmarkEnd w:id="13"/>
    <w:bookmarkStart w:id="14" w:name="X04a5decd91786f81938eada60165dd2a380dd17"/>
    <w:p>
      <w:pPr>
        <w:pStyle w:val="Heading3"/>
      </w:pPr>
      <w:r>
        <w:t xml:space="preserve">3C. HIPAA Security Rule</w:t>
      </w:r>
      <w:r>
        <w:t xml:space="preserve"> </w:t>
      </w:r>
      <w:r>
        <w:rPr>
          <w:i/>
          <w:iCs/>
        </w:rPr>
        <w:t xml:space="preserve">(≈5 min)</w:t>
      </w:r>
    </w:p>
    <w:p>
      <w:pPr>
        <w:pStyle w:val="FirstParagraph"/>
      </w:pPr>
      <w:r>
        <w:rPr>
          <w:b/>
          <w:bCs/>
        </w:rPr>
        <w:t xml:space="preserve">Open:</w:t>
      </w:r>
      <w:r>
        <w:t xml:space="preserve"> </w:t>
      </w:r>
      <w:r>
        <w:rPr>
          <w:rStyle w:val="VerbatimChar"/>
        </w:rPr>
        <w:t xml:space="preserve">CSW-HIPAA-Compliance-Report.pdf</w:t>
      </w:r>
    </w:p>
    <w:p>
      <w:pPr>
        <w:pStyle w:val="BodyText"/>
      </w:pPr>
      <w:r>
        <w:rPr>
          <w:b/>
          <w:bCs/>
        </w:rPr>
        <w:t xml:space="preserve">Show 1 — Compliance Posture Summary:</w:t>
      </w:r>
      <w:r>
        <w:t xml:space="preserve"> </w:t>
      </w:r>
      <w:r>
        <w:t xml:space="preserve">Administrative §164.308</w:t>
      </w:r>
      <w:r>
        <w:t xml:space="preserve"> </w:t>
      </w:r>
      <w:r>
        <w:rPr>
          <w:b/>
          <w:bCs/>
        </w:rPr>
        <w:t xml:space="preserve">Full</w:t>
      </w:r>
      <w:r>
        <w:t xml:space="preserve">, Physical §164.310</w:t>
      </w:r>
      <w:r>
        <w:t xml:space="preserve"> </w:t>
      </w:r>
      <w:r>
        <w:rPr>
          <w:b/>
          <w:bCs/>
        </w:rPr>
        <w:t xml:space="preserve">Partial</w:t>
      </w:r>
      <w:r>
        <w:t xml:space="preserve">, Technical §164.312</w:t>
      </w:r>
      <w:r>
        <w:t xml:space="preserve"> </w:t>
      </w:r>
      <w:r>
        <w:rPr>
          <w:b/>
          <w:bCs/>
        </w:rPr>
        <w:t xml:space="preserve">Full</w:t>
      </w:r>
      <w:r>
        <w:t xml:space="preserve">, Organizational §164.314</w:t>
      </w:r>
      <w:r>
        <w:t xml:space="preserve"> </w:t>
      </w:r>
      <w:r>
        <w:rPr>
          <w:b/>
          <w:bCs/>
        </w:rPr>
        <w:t xml:space="preserve">Evidence Required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Show 2 — HIPAA Control Mapping Detail (Technical Safeguards §164.312).</w:t>
      </w:r>
      <w:r>
        <w:t xml:space="preserve"> </w:t>
      </w:r>
      <w:r>
        <w:rPr>
          <w:i/>
          <w:iCs/>
        </w:rPr>
        <w:t xml:space="preserve">Say:</w:t>
      </w:r>
      <w:r>
        <w:t xml:space="preserve"> </w:t>
      </w:r>
      <w:r>
        <w:t xml:space="preserve">"At the ePHI tier CSW maps cleanly:</w:t>
      </w:r>
      <w:r>
        <w:t xml:space="preserve"> </w:t>
      </w:r>
      <w:r>
        <w:rPr>
          <w:b/>
          <w:bCs/>
        </w:rPr>
        <w:t xml:space="preserve">audit controls</w:t>
      </w:r>
      <w:r>
        <w:t xml:space="preserve"> </w:t>
      </w:r>
      <w:r>
        <w:t xml:space="preserve">(full flow + process telemetry),</w:t>
      </w:r>
      <w:r>
        <w:t xml:space="preserve"> </w:t>
      </w:r>
      <w:r>
        <w:rPr>
          <w:b/>
          <w:bCs/>
        </w:rPr>
        <w:t xml:space="preserve">integrity</w:t>
      </w:r>
      <w:r>
        <w:t xml:space="preserve">,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(enforces LDAPS/Kerberos-only, blocks plain LDAP 389), and</w:t>
      </w:r>
      <w:r>
        <w:t xml:space="preserve"> </w:t>
      </w:r>
      <w:r>
        <w:rPr>
          <w:b/>
          <w:bCs/>
        </w:rPr>
        <w:t xml:space="preserve">encryption-in-transit detection</w:t>
      </w:r>
      <w:r>
        <w:t xml:space="preserve"> </w:t>
      </w:r>
      <w:r>
        <w:t xml:space="preserve">— we flag HTTP/FTP/plain-LDAP on the PHI zone."</w:t>
      </w:r>
    </w:p>
    <w:p>
      <w:pPr>
        <w:pStyle w:val="BodyText"/>
      </w:pPr>
      <w:r>
        <w:rPr>
          <w:b/>
          <w:bCs/>
        </w:rPr>
        <w:t xml:space="preserve">Show 3 — Evidence Collection &amp; Audit Readiness table.</w:t>
      </w:r>
      <w:r>
        <w:t xml:space="preserve"> </w:t>
      </w:r>
      <w:r>
        <w:rPr>
          <w:i/>
          <w:iCs/>
        </w:rPr>
        <w:t xml:space="preserve">Say:</w:t>
      </w:r>
      <w:r>
        <w:t xml:space="preserve"> </w:t>
      </w:r>
      <w:r>
        <w:t xml:space="preserve">"Eight evidence artifacts, each tied to a HIPAA control and a cadence — this is the audit-readiness kit."</w:t>
      </w:r>
    </w:p>
    <w:p>
      <w:pPr>
        <w:pStyle w:val="BodyText"/>
      </w:pPr>
      <w:r>
        <w:rPr>
          <w:b/>
          <w:bCs/>
        </w:rPr>
        <w:t xml:space="preserve">Honest boundary (say it):</w:t>
      </w:r>
      <w:r>
        <w:t xml:space="preserve"> </w:t>
      </w:r>
      <w:r>
        <w:t xml:space="preserve">"§164.314 Business Associate contracts, physical safeguards, and encryption</w:t>
      </w:r>
      <w:r>
        <w:t xml:space="preserve"> </w:t>
      </w:r>
      <w:r>
        <w:rPr>
          <w:i/>
          <w:iCs/>
        </w:rPr>
        <w:t xml:space="preserve">enforcement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Evidence Required</w:t>
      </w:r>
      <w:r>
        <w:t xml:space="preserve"> </w:t>
      </w:r>
      <w:r>
        <w:t xml:space="preserve">— CSW</w:t>
      </w:r>
      <w:r>
        <w:t xml:space="preserve"> </w:t>
      </w:r>
      <w:r>
        <w:rPr>
          <w:b/>
          <w:bCs/>
        </w:rPr>
        <w:t xml:space="preserve">detects</w:t>
      </w:r>
      <w:r>
        <w:t xml:space="preserve"> </w:t>
      </w:r>
      <w:r>
        <w:t xml:space="preserve">plaintext but doesn't encrypt; identity and BAAs live elsewhere."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da013eed450792fa1cc71d7006f68e224f09a0e"/>
    <w:p>
      <w:pPr>
        <w:pStyle w:val="Heading2"/>
      </w:pPr>
      <w:r>
        <w:t xml:space="preserve">4. Gartner-specific angles (weave in where natural)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Breadth + consistency:</w:t>
      </w:r>
      <w:r>
        <w:t xml:space="preserve"> </w:t>
      </w:r>
      <w:r>
        <w:t xml:space="preserve">34 frameworks on one evidence model — including zero-trust (</w:t>
      </w:r>
      <w:r>
        <w:rPr>
          <w:b/>
          <w:bCs/>
        </w:rPr>
        <w:t xml:space="preserve">NIST 800-207, CISA ZTMM</w:t>
      </w:r>
      <w:r>
        <w:t xml:space="preserve">), sector (NERC, TSA, IEC 62443), and regional (DORA, NIS2, APRA, MAS).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Two-audience design:</w:t>
      </w:r>
      <w:r>
        <w:t xml:space="preserve"> </w:t>
      </w:r>
      <w:r>
        <w:t xml:space="preserve">report for GRC/auditors, runbook for engineers — same control spine, different depth.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Continuous vs point-in-time:</w:t>
      </w:r>
      <w:r>
        <w:t xml:space="preserve"> </w:t>
      </w:r>
      <w:r>
        <w:t xml:space="preserve">evidence is produced continuously (flows, policy drift), replacing once-a-year sampling.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Alignment to Gartner's microsegmentation guidance:</w:t>
      </w:r>
      <w:r>
        <w:t xml:space="preserve"> </w:t>
      </w:r>
      <w:r>
        <w:t xml:space="preserve">OS-level, identity-/label-based segmentation; ADM → simulation → enforce lifecycle.</w:t>
      </w:r>
    </w:p>
    <w:p>
      <w:r>
        <w:pict>
          <v:rect style="width:0;height:1.5pt" o:hralign="center" o:hrstd="t" o:hr="t"/>
        </w:pict>
      </w:r>
    </w:p>
    <w:bookmarkEnd w:id="16"/>
    <w:bookmarkStart w:id="17" w:name="Xabf5dcf5ddc30934d8c72cfc0b3402fafc6c7cd"/>
    <w:p>
      <w:pPr>
        <w:pStyle w:val="Heading2"/>
      </w:pPr>
      <w:r>
        <w:t xml:space="preserve">5. Likely analyst questions — crisp answers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"Does this certify compliance?"</w:t>
      </w:r>
      <w:r>
        <w:t xml:space="preserve"> </w:t>
      </w:r>
      <w:r>
        <w:t xml:space="preserve">→ "No. It produces assessor-ready evidence inputs; the qualified assessor determines status."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"How is this better than a written mapping?"</w:t>
      </w:r>
      <w:r>
        <w:t xml:space="preserve"> </w:t>
      </w:r>
      <w:r>
        <w:t xml:space="preserve">→ "Each row ties to a live CSW export with a cadence, plus a paired engineering runbook, consistent across 34 frameworks."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"NERC — what about OT?"</w:t>
      </w:r>
      <w:r>
        <w:t xml:space="preserve"> </w:t>
      </w:r>
      <w:r>
        <w:t xml:space="preserve">→ "IT-side only by design; pair with Cyber Vision for the OT device layer. We state that explicitly in the report."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"Agent coverage gaps?"</w:t>
      </w:r>
      <w:r>
        <w:t xml:space="preserve"> </w:t>
      </w:r>
      <w:r>
        <w:t xml:space="preserve">→ "Anything we can't instrument goes on a documented</w:t>
      </w:r>
      <w:r>
        <w:t xml:space="preserve"> </w:t>
      </w:r>
      <w:r>
        <w:rPr>
          <w:i/>
          <w:iCs/>
        </w:rPr>
        <w:t xml:space="preserve">cannot-instrument register</w:t>
      </w:r>
      <w:r>
        <w:t xml:space="preserve"> </w:t>
      </w:r>
      <w:r>
        <w:t xml:space="preserve">— which is itself audit evidence."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"Encryption?"</w:t>
      </w:r>
      <w:r>
        <w:t xml:space="preserve"> </w:t>
      </w:r>
      <w:r>
        <w:t xml:space="preserve">→ "CSW detects plaintext flows; it does not enforce encryption. Shown as Evidence Required."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"How current are the mappings?"</w:t>
      </w:r>
      <w:r>
        <w:t xml:space="preserve"> </w:t>
      </w:r>
      <w:r>
        <w:t xml:space="preserve">→ "Each report has a version note; validate against the version the customer is assessed under."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"Enforcement risk in production?"</w:t>
      </w:r>
      <w:r>
        <w:t xml:space="preserve"> </w:t>
      </w:r>
      <w:r>
        <w:t xml:space="preserve">→ "ADM builds the policy, run in</w:t>
      </w:r>
      <w:r>
        <w:t xml:space="preserve"> </w:t>
      </w:r>
      <w:r>
        <w:rPr>
          <w:b/>
          <w:bCs/>
        </w:rPr>
        <w:t xml:space="preserve">simulation ≥2 weeks</w:t>
      </w:r>
      <w:r>
        <w:t xml:space="preserve">, then enforce. No big-bang."</w:t>
      </w:r>
    </w:p>
    <w:p>
      <w:r>
        <w:pict>
          <v:rect style="width:0;height:1.5pt" o:hralign="center" o:hrstd="t" o:hr="t"/>
        </w:pict>
      </w:r>
    </w:p>
    <w:bookmarkEnd w:id="17"/>
    <w:bookmarkStart w:id="18" w:name="X4c93072de238a8457f8a96b8d539d0ed26a0772"/>
    <w:p>
      <w:pPr>
        <w:pStyle w:val="Heading2"/>
      </w:pPr>
      <w:r>
        <w:t xml:space="preserve">6. Close / ask (last 60 seconds)</w:t>
      </w:r>
    </w:p>
    <w:p>
      <w:pPr>
        <w:pStyle w:val="BlockText"/>
      </w:pPr>
      <w:r>
        <w:t xml:space="preserve">"The goal is to make microsegmentation evidence a non-event for compliance teams across whatever framework a client is assessed against."</w:t>
      </w:r>
    </w:p>
    <w:p>
      <w:pPr>
        <w:pStyle w:val="FirstParagraph"/>
      </w:pPr>
      <w:r>
        <w:rPr>
          <w:b/>
          <w:bCs/>
        </w:rPr>
        <w:t xml:space="preserve">Ask Gartner for:</w:t>
      </w:r>
      <w:r>
        <w:t xml:space="preserve"> </w:t>
      </w:r>
      <w:r>
        <w:t xml:space="preserve">(1) feedback on framework coverage/gaps worth adding, (2) whether this fits relevant research (microsegmentation, CNAPP/CWPP, zero-trust), (3) intros to clients who keep asking "prove segmentation for my audit."</w:t>
      </w:r>
    </w:p>
    <w:p>
      <w:r>
        <w:pict>
          <v:rect style="width:0;height:1.5pt" o:hralign="center" o:hrstd="t" o:hr="t"/>
        </w:pict>
      </w:r>
    </w:p>
    <w:bookmarkEnd w:id="18"/>
    <w:bookmarkStart w:id="19" w:name="Xada2a0ac218db9c061dd6220bdbcc3eebcd7b5b"/>
    <w:p>
      <w:pPr>
        <w:pStyle w:val="Heading2"/>
      </w:pPr>
      <w:r>
        <w:t xml:space="preserve">7. Timing &amp; guardrails</w:t>
      </w:r>
    </w:p>
    <w:p>
      <w:pPr>
        <w:pStyle w:val="FirstParagraph"/>
      </w:pPr>
      <w:r>
        <w:rPr>
          <w:b/>
          <w:bCs/>
        </w:rPr>
        <w:t xml:space="preserve">For a 25–30 min slot:</w:t>
      </w:r>
      <w:r>
        <w:t xml:space="preserve"> </w:t>
      </w:r>
      <w:r>
        <w:t xml:space="preserve">2 min open · 5 min PCI · 5 min NERC · 5 min HIPAA · 2 min breadth · ~6–8 min Q&amp;A.</w:t>
      </w:r>
    </w:p>
    <w:p>
      <w:pPr>
        <w:pStyle w:val="BodyText"/>
      </w:pPr>
      <w:r>
        <w:rPr>
          <w:b/>
          <w:bCs/>
        </w:rPr>
        <w:t xml:space="preserve">Do:</w:t>
      </w:r>
      <w:r>
        <w:t xml:space="preserve"> </w:t>
      </w:r>
      <w:r>
        <w:t xml:space="preserve">lead with the evidence-not-certification line; name the red/out-of-scope rows out loud; keep to three reports.</w:t>
      </w:r>
      <w:r>
        <w:t xml:space="preserve"> </w:t>
      </w:r>
      <w:r>
        <w:rPr>
          <w:b/>
          <w:bCs/>
        </w:rPr>
        <w:t xml:space="preserve">Don't say:</w:t>
      </w:r>
      <w:r>
        <w:t xml:space="preserve"> </w:t>
      </w:r>
      <w:r>
        <w:t xml:space="preserve">"CSW makes you PCI/HIPAA/NERC compliant," "replaces your QSA/auditor," or "covers OT."</w:t>
      </w:r>
      <w:r>
        <w:t xml:space="preserve"> </w:t>
      </w:r>
      <w:r>
        <w:rPr>
          <w:b/>
          <w:bCs/>
        </w:rPr>
        <w:t xml:space="preserve">Do say:</w:t>
      </w:r>
      <w:r>
        <w:t xml:space="preserve"> </w:t>
      </w:r>
      <w:r>
        <w:t xml:space="preserve">"produces assessor-ready evidence," "complements identity/crypto/physical controls," "IT-side."</w:t>
      </w:r>
    </w:p>
    <w:p>
      <w:pPr>
        <w:pStyle w:val="BodyText"/>
      </w:pPr>
      <w:r>
        <w:rPr>
          <w:i/>
          <w:iCs/>
        </w:rPr>
        <w:t xml:space="preserve">Disclaimer to have ready: these reports are informational planning aids, not legal/audit/certification advice; validate mappings against the official framework text and the customer's assessed version.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2026-10-05T22:17:54Z</dcterms:created>
  <dcterms:modified xsi:type="dcterms:W3CDTF">2026-10-05T22:17:54Z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