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800"/>
      </w:pPr>
      <w:r>
        <w:t xml:space="preserve"/>
      </w:r>
    </w:p>
    <w:p>
      <w:pPr>
        <w:spacing w:after="200" w:before="0"/>
        <w:jc w:val="center"/>
      </w:pPr>
      <w:r>
        <w:rPr>
          <w:rFonts w:ascii="Arial" w:cs="Arial" w:eastAsia="Arial" w:hAnsi="Arial"/>
          <w:b/>
          <w:bCs/>
          <w:color w:val="003366"/>
          <w:sz w:val="52"/>
          <w:szCs w:val="52"/>
        </w:rPr>
        <w:t xml:space="preserve">CISCO SECURE WORKLOAD</w:t>
      </w:r>
    </w:p>
    <w:p>
      <w:pPr>
        <w:spacing w:after="200" w:before="0"/>
        <w:jc w:val="center"/>
      </w:pPr>
      <w:r>
        <w:rPr>
          <w:rFonts w:ascii="Arial" w:cs="Arial" w:eastAsia="Arial" w:hAnsi="Arial"/>
          <w:b/>
          <w:bCs/>
          <w:color w:val="0070C0"/>
          <w:sz w:val="40"/>
          <w:szCs w:val="40"/>
        </w:rPr>
        <w:t xml:space="preserve">NIST SP 800-207 Zero Trust Architecture</w:t>
      </w:r>
    </w:p>
    <w:p>
      <w:pPr>
        <w:spacing w:after="400" w:before="0"/>
        <w:jc w:val="center"/>
      </w:pPr>
      <w:r>
        <w:rPr>
          <w:rFonts w:ascii="Arial" w:cs="Arial" w:eastAsia="Arial" w:hAnsi="Arial"/>
          <w:color w:val="555555"/>
          <w:sz w:val="26"/>
          <w:szCs w:val="26"/>
        </w:rPr>
        <w:t xml:space="preserve">Zero Trust Tenets &amp; Deployment Model Alignment</w:t>
      </w:r>
    </w:p>
    <w:p>
      <w:pPr>
        <w:pBdr>
          <w:bottom w:val="single" w:color="0070C0" w:sz="12" w:space="4"/>
        </w:pBdr>
        <w:spacing w:after="400" w:before="0"/>
        <w:jc w:val="center"/>
      </w:pPr>
      <w:r>
        <w:t xml:space="preserve"/>
      </w:r>
    </w:p>
    <w:p>
      <w:pPr>
        <w:spacing w:after="160" w:before="400"/>
        <w:jc w:val="center"/>
      </w:pPr>
      <w:r>
        <w:rPr>
          <w:rFonts w:ascii="Arial" w:cs="Arial" w:eastAsia="Arial" w:hAnsi="Arial"/>
          <w:color w:val="444444"/>
          <w:sz w:val="28"/>
          <w:szCs w:val="28"/>
        </w:rPr>
        <w:t xml:space="preserve">Prepared for:  [Customer Name]</w:t>
      </w:r>
    </w:p>
    <w:p>
      <w:pPr>
        <w:spacing w:after="160" w:before="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Prepared by:  Cisco Systems, Inc.</w:t>
      </w:r>
    </w:p>
    <w:p>
      <w:pPr>
        <w:spacing w:after="400" w:before="0"/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Date:  [Month Year]  |  Version 1.0  |  Cisco Confidential</w:t>
      </w:r>
    </w:p>
    <w:tbl>
      <w:tblPr>
        <w:tblW w:type="dxa" w:w="6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</w:tblGrid>
      <w:tr>
        <w:tc>
          <w:tcPr>
            <w:tcW w:type="dxa" w:w="6000"/>
            <w:tcBorders>
              <w:top w:val="single" w:color="0070C0" w:sz="1"/>
              <w:left w:val="single" w:color="0070C0" w:sz="1"/>
              <w:bottom w:val="single" w:color="0070C0" w:sz="1"/>
              <w:right w:val="single" w:color="0070C0" w:sz="1"/>
            </w:tcBorders>
            <w:shd w:fill="E8F4F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3366"/>
                <w:sz w:val="22"/>
                <w:szCs w:val="22"/>
              </w:rPr>
              <w:t xml:space="preserve">Regulatory Standard: NIST SP 800-207 (Zero Trust Architecture — Seven Tenets)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Environment: Hybrid (On-Premises + AWS / Azure / GCP)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Deployment Stage: Fresh Installation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070C0" w:sz="8" w:space="4"/>
        </w:pBdr>
        <w:spacing w:after="200" w:before="400"/>
      </w:pPr>
      <w:r>
        <w:rPr>
          <w:rFonts w:ascii="Arial" w:cs="Arial" w:eastAsia="Arial" w:hAnsi="Arial"/>
          <w:b/>
          <w:bCs/>
          <w:color w:val="003366"/>
          <w:sz w:val="36"/>
          <w:szCs w:val="36"/>
        </w:rPr>
        <w:t xml:space="preserve">Executive Summary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NIST SP 800-207 defines Zero Trust Architecture (ZTA) as a set of cybersecurity paradigms that move defenses from static, network-based perimeters to focus on users, assets, and resources. The standard defines seven foundational tenets that any ZTA implementation must satisfy, along with three deployment models: Agent-Based, Enclave-Based, and Resource Portal-Based.</w:t>
      </w:r>
    </w:p>
    <w:p>
      <w:pPr>
        <w:spacing w:after="0" w:before="10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Cisco Secure Workload (CSW) is a foundational ZTA technology that directly satisfies NIST 800-207 tenets related to resource protection, communication integrity, dynamic policy enforcement, and continuous monitoring. CSW's workload-level micro-segmentation, Application Dependency Mapping (ADM), vulnerability detection, and forensic telemetry make it the enforcement and visibility layer of a NIST-compliant ZTA implementation.</w:t>
      </w:r>
    </w:p>
    <w:p>
      <w:pPr>
        <w:spacing w:after="0" w:before="200"/>
      </w:pPr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0070C0"/>
          <w:sz w:val="28"/>
          <w:szCs w:val="28"/>
        </w:rPr>
        <w:t xml:space="preserve">ZTA Tenet Coverage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360"/>
        <w:gridCol w:w="1800"/>
      </w:tblGrid>
      <w:tr>
        <w:tc>
          <w:tcPr>
            <w:tcW w:type="dxa" w:w="4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NIST 800-207 Tenet</w:t>
            </w:r>
          </w:p>
        </w:tc>
        <w:tc>
          <w:tcPr>
            <w:tcW w:type="dxa" w:w="3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CSW Role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Coverage</w:t>
            </w:r>
          </w:p>
        </w:tc>
      </w:tr>
      <w:tr>
        <w:tc>
          <w:tcPr>
            <w:tcW w:type="dxa" w:w="4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Tenet 1 — All data sources and computing services are resources</w:t>
            </w:r>
          </w:p>
        </w:tc>
        <w:tc>
          <w:tcPr>
            <w:tcW w:type="dxa" w:w="3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Workload discovery and inventory across hybrid environments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107C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Full Coverage</w:t>
            </w:r>
          </w:p>
        </w:tc>
      </w:tr>
      <w:tr>
        <w:tc>
          <w:tcPr>
            <w:tcW w:type="dxa" w:w="4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Tenet 2 — All communication is secured regardless of network location</w:t>
            </w:r>
          </w:p>
        </w:tc>
        <w:tc>
          <w:tcPr>
            <w:tcW w:type="dxa" w:w="3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Encrypted protocol enforcement, unencrypted flow detection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107C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Full Coverage</w:t>
            </w:r>
          </w:p>
        </w:tc>
      </w:tr>
      <w:tr>
        <w:tc>
          <w:tcPr>
            <w:tcW w:type="dxa" w:w="4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Tenet 3 — Access to individual enterprise resources is granted on a per-session basis</w:t>
            </w:r>
          </w:p>
        </w:tc>
        <w:tc>
          <w:tcPr>
            <w:tcW w:type="dxa" w:w="3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Workload-level allowlist policies, session-scoped access enforcement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107C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Full Coverage</w:t>
            </w:r>
          </w:p>
        </w:tc>
      </w:tr>
      <w:tr>
        <w:tc>
          <w:tcPr>
            <w:tcW w:type="dxa" w:w="4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Tenet 4 — Access to resources is determined by dynamic policy</w:t>
            </w:r>
          </w:p>
        </w:tc>
        <w:tc>
          <w:tcPr>
            <w:tcW w:type="dxa" w:w="3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ADM-derived policies, API-driven dynamic policy updates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107C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Full Coverage</w:t>
            </w:r>
          </w:p>
        </w:tc>
      </w:tr>
      <w:tr>
        <w:tc>
          <w:tcPr>
            <w:tcW w:type="dxa" w:w="4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Tenet 5 — Enterprise monitors and measures integrity and security posture of all assets</w:t>
            </w:r>
          </w:p>
        </w:tc>
        <w:tc>
          <w:tcPr>
            <w:tcW w:type="dxa" w:w="3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Continuous vulnerability scanning, process hash verification, telemetry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107C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Full Coverage</w:t>
            </w:r>
          </w:p>
        </w:tc>
      </w:tr>
      <w:tr>
        <w:tc>
          <w:tcPr>
            <w:tcW w:type="dxa" w:w="4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Tenet 6 — All resource authentication and authorization is dynamic and strictly enforced</w:t>
            </w:r>
          </w:p>
        </w:tc>
        <w:tc>
          <w:tcPr>
            <w:tcW w:type="dxa" w:w="3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Encrypted auth path enforcement (LDAPS/Kerberos), unauthenticated access blocking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Partial Coverage</w:t>
            </w:r>
          </w:p>
        </w:tc>
      </w:tr>
      <w:tr>
        <w:tc>
          <w:tcPr>
            <w:tcW w:type="dxa" w:w="4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Tenet 7 — Enterprise collects information about current state of assets and uses it to improve security posture</w:t>
            </w:r>
          </w:p>
        </w:tc>
        <w:tc>
          <w:tcPr>
            <w:tcW w:type="dxa" w:w="3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Full flow + process telemetry, ADM baseline, SIEM integration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107C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Full Coverage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070C0" w:sz="8" w:space="4"/>
        </w:pBdr>
        <w:spacing w:after="200" w:before="400"/>
      </w:pPr>
      <w:r>
        <w:rPr>
          <w:rFonts w:ascii="Arial" w:cs="Arial" w:eastAsia="Arial" w:hAnsi="Arial"/>
          <w:b/>
          <w:bCs/>
          <w:color w:val="003366"/>
          <w:sz w:val="36"/>
          <w:szCs w:val="36"/>
        </w:rPr>
        <w:t xml:space="preserve">NIST 800-207 Tenet-by-Tenet Mapping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0070C0"/>
          <w:sz w:val="28"/>
          <w:szCs w:val="28"/>
        </w:rPr>
        <w:t xml:space="preserve">Tenet 1 — All Data Sources and Computing Services Are Resources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NIST Requirement: Every device, service, and data source — regardless of ownership or location — must be treated as a resource and managed accordingly.</w:t>
      </w:r>
    </w:p>
    <w:p>
      <w:pPr>
        <w:spacing w:after="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CSW Implementation</w:t>
            </w:r>
          </w:p>
        </w:tc>
        <w:tc>
          <w:tcPr>
            <w:tcW w:type="dxa" w:w="69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Workload Discovery</w:t>
            </w:r>
          </w:p>
        </w:tc>
        <w:tc>
          <w:tcPr>
            <w:tcW w:type="dxa" w:w="69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CSW software sensors auto-register every monitored workload as a managed resource. Cloud connectors extend this to AWS EC2, Azure VMs, and GCP instances via agentless discovery.</w:t>
            </w:r>
          </w:p>
        </w:tc>
      </w:tr>
      <w:tr>
        <w:tc>
          <w:tcPr>
            <w:tcW w:type="dxa" w:w="2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Universal Inventory</w:t>
            </w:r>
          </w:p>
        </w:tc>
        <w:tc>
          <w:tcPr>
            <w:tcW w:type="dxa" w:w="69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ADM builds a real-time inventory of all computing resources — hostname, OS, processes, open ports, network interfaces, and communication partners.</w:t>
            </w:r>
          </w:p>
        </w:tc>
      </w:tr>
      <w:tr>
        <w:tc>
          <w:tcPr>
            <w:tcW w:type="dxa" w:w="2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Label-Based Classification</w:t>
            </w:r>
          </w:p>
        </w:tc>
        <w:tc>
          <w:tcPr>
            <w:tcW w:type="dxa" w:w="69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Every resource is labeled by environment, data classification, application, and owner — establishing the resource identity required by NIST 800-207.</w:t>
            </w:r>
          </w:p>
        </w:tc>
      </w:tr>
      <w:tr>
        <w:tc>
          <w:tcPr>
            <w:tcW w:type="dxa" w:w="2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Cloud Resource Parity</w:t>
            </w:r>
          </w:p>
        </w:tc>
        <w:tc>
          <w:tcPr>
            <w:tcW w:type="dxa" w:w="69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Cloud workloads are managed under the same policy framework as on-prem. No implicit trust for cloud-hosted resources — all treated as untrusted until verified.</w:t>
            </w:r>
          </w:p>
        </w:tc>
      </w:tr>
    </w:tbl>
    <w:p>
      <w:pPr>
        <w:spacing w:after="0" w:before="10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Evidence generated: Workload inventory export, ADM resource map, cloud connector inventory report.</w:t>
      </w:r>
    </w:p>
    <w:p>
      <w:pPr>
        <w:spacing w:after="0" w:before="200"/>
      </w:pPr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0070C0"/>
          <w:sz w:val="28"/>
          <w:szCs w:val="28"/>
        </w:rPr>
        <w:t xml:space="preserve">Tenet 2 — All Communication Is Secured Regardless of Network Location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NIST Requirement: All traffic — including traffic on internal networks — must be protected. Network location alone does not grant implicit trust. Communications must be authenticated and encrypted.</w:t>
      </w:r>
    </w:p>
    <w:p>
      <w:pPr>
        <w:spacing w:after="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CSW Implementation</w:t>
            </w:r>
          </w:p>
        </w:tc>
        <w:tc>
          <w:tcPr>
            <w:tcW w:type="dxa" w:w="69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Unencrypted Flow Detection</w:t>
            </w:r>
          </w:p>
        </w:tc>
        <w:tc>
          <w:tcPr>
            <w:tcW w:type="dxa" w:w="69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CSW continuously monitors all workload communications and flags unencrypted protocols: HTTP (port 80), FTP (port 21), Telnet (port 23), plain LDAP (port 389), and legacy TLS versions (1.0/1.1).</w:t>
            </w:r>
          </w:p>
        </w:tc>
      </w:tr>
      <w:tr>
        <w:tc>
          <w:tcPr>
            <w:tcW w:type="dxa" w:w="2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Encrypted Path Enforcement</w:t>
            </w:r>
          </w:p>
        </w:tc>
        <w:tc>
          <w:tcPr>
            <w:tcW w:type="dxa" w:w="69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CSW policies enforce HTTPS, SFTP, LDAPS, and SSH as the only permitted protocols for sensitive workloads. Non-compliant connections are blocked and alerted.</w:t>
            </w:r>
          </w:p>
        </w:tc>
      </w:tr>
      <w:tr>
        <w:tc>
          <w:tcPr>
            <w:tcW w:type="dxa" w:w="2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Internal Traffic Visibility</w:t>
            </w:r>
          </w:p>
        </w:tc>
        <w:tc>
          <w:tcPr>
            <w:tcW w:type="dxa" w:w="69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ADM captures all east-west (internal) traffic — eliminating the assumption that internal network communication is safe. Every internal flow is validated against the approved policy baseline.</w:t>
            </w:r>
          </w:p>
        </w:tc>
      </w:tr>
      <w:tr>
        <w:tc>
          <w:tcPr>
            <w:tcW w:type="dxa" w:w="2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No Implicit Internal Trust</w:t>
            </w:r>
          </w:p>
        </w:tc>
        <w:tc>
          <w:tcPr>
            <w:tcW w:type="dxa" w:w="69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CSW default-deny policies treat internal traffic identically to external traffic. All connections must match an explicit allowlist rule regardless of source network location.</w:t>
            </w:r>
          </w:p>
        </w:tc>
      </w:tr>
    </w:tbl>
    <w:p>
      <w:pPr>
        <w:spacing w:after="0" w:before="10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Evidence generated: Protocol compliance report (unencrypted flow detection), policy enforcement log, ADM east-west flow map.</w:t>
      </w:r>
    </w:p>
    <w:p>
      <w:pPr>
        <w:spacing w:after="0" w:before="200"/>
      </w:pPr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0070C0"/>
          <w:sz w:val="28"/>
          <w:szCs w:val="28"/>
        </w:rPr>
        <w:t xml:space="preserve">Tenet 3 — Access to Individual Resources Is Granted Per-Session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NIST Requirement: Access must be granted to specific individual resources — not broad network segments — and must be evaluated per connection or session.</w:t>
      </w:r>
    </w:p>
    <w:p>
      <w:pPr>
        <w:spacing w:after="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CSW Implementation</w:t>
            </w:r>
          </w:p>
        </w:tc>
        <w:tc>
          <w:tcPr>
            <w:tcW w:type="dxa" w:w="69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Workload-Level Allowlist</w:t>
            </w:r>
          </w:p>
        </w:tc>
        <w:tc>
          <w:tcPr>
            <w:tcW w:type="dxa" w:w="69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CSW policies operate at the individual workload level — not subnet or VLAN. Each workload has its own explicit allowlist. Access to Workload A does not imply access to Workload B, even if they share a subnet.</w:t>
            </w:r>
          </w:p>
        </w:tc>
      </w:tr>
      <w:tr>
        <w:tc>
          <w:tcPr>
            <w:tcW w:type="dxa" w:w="2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Per-Flow Policy Evaluation</w:t>
            </w:r>
          </w:p>
        </w:tc>
        <w:tc>
          <w:tcPr>
            <w:tcW w:type="dxa" w:w="69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Every network connection is evaluated against the policy engine in real time. ADM-baseline policies define exactly which source workloads can reach which destination workloads on which ports.</w:t>
            </w:r>
          </w:p>
        </w:tc>
      </w:tr>
      <w:tr>
        <w:tc>
          <w:tcPr>
            <w:tcW w:type="dxa" w:w="2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Micro-Segmentation</w:t>
            </w:r>
          </w:p>
        </w:tc>
        <w:tc>
          <w:tcPr>
            <w:tcW w:type="dxa" w:w="69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CSW enforces microsegmentation between every workload pair. Lateral movement — a resource reaching a workload it has no approved flow to — is blocked automatically.</w:t>
            </w:r>
          </w:p>
        </w:tc>
      </w:tr>
      <w:tr>
        <w:tc>
          <w:tcPr>
            <w:tcW w:type="dxa" w:w="2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Session Audit Trail</w:t>
            </w:r>
          </w:p>
        </w:tc>
        <w:tc>
          <w:tcPr>
            <w:tcW w:type="dxa" w:w="69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Every connection attempt (approved or denied) is recorded in CSW forensic telemetry with full context: source, destination, process, user, timestamp, and policy decision.</w:t>
            </w:r>
          </w:p>
        </w:tc>
      </w:tr>
    </w:tbl>
    <w:p>
      <w:pPr>
        <w:spacing w:after="0" w:before="10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Evidence generated: Per-session flow log, policy denial log, micro-segmentation policy workspace export.</w:t>
      </w:r>
    </w:p>
    <w:p>
      <w:r>
        <w:br w:type="pag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0070C0"/>
          <w:sz w:val="28"/>
          <w:szCs w:val="28"/>
        </w:rPr>
        <w:t xml:space="preserve">Tenet 4 — Access Is Determined by Dynamic Policy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NIST Requirement: Access policy must be dynamic — incorporating observable state of the requesting resource, user behavioral attributes, and environmental conditions. Static firewall rules are insufficient.</w:t>
      </w:r>
    </w:p>
    <w:p>
      <w:pPr>
        <w:spacing w:after="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CSW Implementation</w:t>
            </w:r>
          </w:p>
        </w:tc>
        <w:tc>
          <w:tcPr>
            <w:tcW w:type="dxa" w:w="69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ADM-Derived Policy Baseline</w:t>
            </w:r>
          </w:p>
        </w:tc>
        <w:tc>
          <w:tcPr>
            <w:tcW w:type="dxa" w:w="69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CSW policies are derived from actual observed application behavior (ADM) — not manually authored static rules. The baseline reflects real traffic patterns and is updated as applications evolve.</w:t>
            </w:r>
          </w:p>
        </w:tc>
      </w:tr>
      <w:tr>
        <w:tc>
          <w:tcPr>
            <w:tcW w:type="dxa" w:w="2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Label-Driven Dynamic Scoping</w:t>
            </w:r>
          </w:p>
        </w:tc>
        <w:tc>
          <w:tcPr>
            <w:tcW w:type="dxa" w:w="69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As workload labels change (e.g., a workload is classified as PHI-bearing), CSW scope membership — and therefore the policies applied to it — updates automatically without manual rule changes.</w:t>
            </w:r>
          </w:p>
        </w:tc>
      </w:tr>
      <w:tr>
        <w:tc>
          <w:tcPr>
            <w:tcW w:type="dxa" w:w="2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API-Driven Policy Updates</w:t>
            </w:r>
          </w:p>
        </w:tc>
        <w:tc>
          <w:tcPr>
            <w:tcW w:type="dxa" w:w="69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CSW REST API allows SOAR platforms, CMDB systems, and orchestration tools to push policy updates in real time. A workload flagged as compromised by EDR triggers an automatic CSW isolation policy via API.</w:t>
            </w:r>
          </w:p>
        </w:tc>
      </w:tr>
      <w:tr>
        <w:tc>
          <w:tcPr>
            <w:tcW w:type="dxa" w:w="2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Vulnerability-Informed Policy</w:t>
            </w:r>
          </w:p>
        </w:tc>
        <w:tc>
          <w:tcPr>
            <w:tcW w:type="dxa" w:w="69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CSW vulnerability data drives compensating control policies: a workload with a critical unpatched CVE can be automatically restricted to admin-only access until patched — posture-aware access control.</w:t>
            </w:r>
          </w:p>
        </w:tc>
      </w:tr>
      <w:tr>
        <w:tc>
          <w:tcPr>
            <w:tcW w:type="dxa" w:w="2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Anomaly-Triggered Adjustment</w:t>
            </w:r>
          </w:p>
        </w:tc>
        <w:tc>
          <w:tcPr>
            <w:tcW w:type="dxa" w:w="69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CSW anomaly detection identifies behavioral deviations from the ADM baseline. These signals trigger SOAR-mediated policy tightening — moving access decisions from static to continuously adaptive.</w:t>
            </w:r>
          </w:p>
        </w:tc>
      </w:tr>
    </w:tbl>
    <w:p>
      <w:pPr>
        <w:spacing w:after="0" w:before="10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Evidence generated: ADM policy workspace, API audit log, anomaly alert-to-policy-change correlation log.</w:t>
      </w:r>
    </w:p>
    <w:p>
      <w:pPr>
        <w:spacing w:after="0" w:before="200"/>
      </w:pPr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0070C0"/>
          <w:sz w:val="28"/>
          <w:szCs w:val="28"/>
        </w:rPr>
        <w:t xml:space="preserve">Tenet 5 — Enterprise Monitors and Measures Integrity and Security Posture of All Assets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NIST Requirement: The enterprise must continuously monitor the security posture of all owned and associated assets. No asset is assumed healthy without verification.</w:t>
      </w:r>
    </w:p>
    <w:p>
      <w:pPr>
        <w:spacing w:after="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CSW Implementation</w:t>
            </w:r>
          </w:p>
        </w:tc>
        <w:tc>
          <w:tcPr>
            <w:tcW w:type="dxa" w:w="69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Continuous Vulnerability Scanning</w:t>
            </w:r>
          </w:p>
        </w:tc>
        <w:tc>
          <w:tcPr>
            <w:tcW w:type="dxa" w:w="69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CSW continuously scans all monitored workloads for CVEs without requiring a separate scanning tool. Results are CVSS-scored, workload-attributed, and exportable for risk register input.</w:t>
            </w:r>
          </w:p>
        </w:tc>
      </w:tr>
      <w:tr>
        <w:tc>
          <w:tcPr>
            <w:tcW w:type="dxa" w:w="2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Process Hash Verification</w:t>
            </w:r>
          </w:p>
        </w:tc>
        <w:tc>
          <w:tcPr>
            <w:tcW w:type="dxa" w:w="69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CSW monitors the hash of all running processes per workload. Deviations from the approved process baseline — new or modified executables — are flagged immediately as integrity violations.</w:t>
            </w:r>
          </w:p>
        </w:tc>
      </w:tr>
      <w:tr>
        <w:tc>
          <w:tcPr>
            <w:tcW w:type="dxa" w:w="2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Configuration Drift Detection</w:t>
            </w:r>
          </w:p>
        </w:tc>
        <w:tc>
          <w:tcPr>
            <w:tcW w:type="dxa" w:w="69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CSW detects new listening ports, new processes, and new network connections that deviate from the ADM-established baseline. Any drift from approved configuration triggers an alert.</w:t>
            </w:r>
          </w:p>
        </w:tc>
      </w:tr>
      <w:tr>
        <w:tc>
          <w:tcPr>
            <w:tcW w:type="dxa" w:w="2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Real-Time Posture Feed</w:t>
            </w:r>
          </w:p>
        </w:tc>
        <w:tc>
          <w:tcPr>
            <w:tcW w:type="dxa" w:w="69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CSW posture data (vulnerability state, process baseline, network compliance) is continuously streamed to SIEM — providing the asset health data feed that NIST 800-207 requires for dynamic policy decisions.</w:t>
            </w:r>
          </w:p>
        </w:tc>
      </w:tr>
    </w:tbl>
    <w:p>
      <w:pPr>
        <w:spacing w:after="0" w:before="10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Evidence generated: Vulnerability scan report (continuous), process anomaly alert log, configuration drift report, SIEM posture feed.</w:t>
      </w:r>
    </w:p>
    <w:p>
      <w:r>
        <w:br w:type="pag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0070C0"/>
          <w:sz w:val="28"/>
          <w:szCs w:val="28"/>
        </w:rPr>
        <w:t xml:space="preserve">Tenet 6 — Authentication and Authorization Are Dynamic and Strictly Enforced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NIST Requirement: Authentication and authorization must be performed before access is granted and must be re-evaluated continuously. This applies to both human users and non-person entities (NPEs).</w:t>
      </w:r>
    </w:p>
    <w:p>
      <w:pPr>
        <w:spacing w:after="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CSW Implementation</w:t>
            </w:r>
          </w:p>
        </w:tc>
        <w:tc>
          <w:tcPr>
            <w:tcW w:type="dxa" w:w="69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Encrypted Auth Path Enforcement</w:t>
            </w:r>
          </w:p>
        </w:tc>
        <w:tc>
          <w:tcPr>
            <w:tcW w:type="dxa" w:w="69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CSW enforces LDAPS (port 636) and Kerberos as the only permitted authentication paths to sensitive workloads. Plain LDAP (port 389) and unauthenticated access attempts are blocked by policy.</w:t>
            </w:r>
          </w:p>
        </w:tc>
      </w:tr>
      <w:tr>
        <w:tc>
          <w:tcPr>
            <w:tcW w:type="dxa" w:w="2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Non-Person Entity (NPE) Authentication</w:t>
            </w:r>
          </w:p>
        </w:tc>
        <w:tc>
          <w:tcPr>
            <w:tcW w:type="dxa" w:w="69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CSW captures process-identity context per workload connection — identifying which service or application initiated each flow. Unrecognized process-to-resource connections trigger alerts.</w:t>
            </w:r>
          </w:p>
        </w:tc>
      </w:tr>
      <w:tr>
        <w:tc>
          <w:tcPr>
            <w:tcW w:type="dxa" w:w="2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Unauthenticated Access Detection</w:t>
            </w:r>
          </w:p>
        </w:tc>
        <w:tc>
          <w:tcPr>
            <w:tcW w:type="dxa" w:w="69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CSW forensic telemetry identifies connections that bypass the approved authentication path — a direct indicator of credential compromise or lateral movement.</w:t>
            </w:r>
          </w:p>
        </w:tc>
      </w:tr>
      <w:tr>
        <w:tc>
          <w:tcPr>
            <w:tcW w:type="dxa" w:w="2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Complementary Controls Required</w:t>
            </w:r>
          </w:p>
        </w:tc>
        <w:tc>
          <w:tcPr>
            <w:tcW w:type="dxa" w:w="69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Full dynamic authentication (MFA re-evaluation, continuous session validation, IdP integration) requires pairing CSW with an Identity Provider (IdP), SSO platform, and/or Cisco Secure Access (ZTNA).</w:t>
            </w:r>
          </w:p>
        </w:tc>
      </w:tr>
    </w:tbl>
    <w:p>
      <w:pPr>
        <w:spacing w:after="0" w:before="10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Evidence generated: Authentication path enforcement log (LDAPS policy), unauthenticated access alert log, process-identity flow report.</w:t>
      </w:r>
    </w:p>
    <w:p>
      <w:pPr>
        <w:spacing w:after="80" w:before="8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Note: Tenet 6 is Partial Coverage because CSW enforces the network path to authentication systems but does not itself perform identity provider functions. Pair with Cisco Secure Access or equivalent ZTNA for full coverage.</w:t>
      </w:r>
    </w:p>
    <w:p>
      <w:pPr>
        <w:spacing w:after="0" w:before="200"/>
      </w:pPr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0070C0"/>
          <w:sz w:val="28"/>
          <w:szCs w:val="28"/>
        </w:rPr>
        <w:t xml:space="preserve">Tenet 7 — Enterprise Collects Information and Uses It to Improve Security Posture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NIST Requirement: The enterprise must collect, aggregate, and analyze data about the current state of assets, network traffic, and access requests, and use it to improve security posture over time.</w:t>
      </w:r>
    </w:p>
    <w:p>
      <w:pPr>
        <w:spacing w:after="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CSW Implementation</w:t>
            </w:r>
          </w:p>
        </w:tc>
        <w:tc>
          <w:tcPr>
            <w:tcW w:type="dxa" w:w="69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Full Flow &amp; Process Telemetry</w:t>
            </w:r>
          </w:p>
        </w:tc>
        <w:tc>
          <w:tcPr>
            <w:tcW w:type="dxa" w:w="69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CSW collects comprehensive telemetry: every network flow (source, destination, port, protocol, bytes, duration), every process (name, hash, parent, user), and every policy decision across all monitored workloads.</w:t>
            </w:r>
          </w:p>
        </w:tc>
      </w:tr>
      <w:tr>
        <w:tc>
          <w:tcPr>
            <w:tcW w:type="dxa" w:w="2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ADM Behavioral Baseline</w:t>
            </w:r>
          </w:p>
        </w:tc>
        <w:tc>
          <w:tcPr>
            <w:tcW w:type="dxa" w:w="69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Quarterly ADM re-runs establish an evolving behavioral baseline. Delta analysis between ADM runs reveals new application dependencies, removed flows, and emerging attack surface — enabling proactive posture improvement.</w:t>
            </w:r>
          </w:p>
        </w:tc>
      </w:tr>
      <w:tr>
        <w:tc>
          <w:tcPr>
            <w:tcW w:type="dxa" w:w="2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Vulnerability Trend Analysis</w:t>
            </w:r>
          </w:p>
        </w:tc>
        <w:tc>
          <w:tcPr>
            <w:tcW w:type="dxa" w:w="69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CSW tracks CVE emergence and remediation over time per workload. Trending data shows whether the organization's patch posture is improving, stable, or degrading.</w:t>
            </w:r>
          </w:p>
        </w:tc>
      </w:tr>
      <w:tr>
        <w:tc>
          <w:tcPr>
            <w:tcW w:type="dxa" w:w="2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SIEM Integration for Analytics</w:t>
            </w:r>
          </w:p>
        </w:tc>
        <w:tc>
          <w:tcPr>
            <w:tcW w:type="dxa" w:w="69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All CSW telemetry streams to SIEM via Kafka/Syslog — enabling the enterprise analytics platform required by NIST 800-207 to correlate CSW data with identity, endpoint, and cloud signals.</w:t>
            </w:r>
          </w:p>
        </w:tc>
      </w:tr>
      <w:tr>
        <w:tc>
          <w:tcPr>
            <w:tcW w:type="dxa" w:w="2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Compliance Reporting Loop</w:t>
            </w:r>
          </w:p>
        </w:tc>
        <w:tc>
          <w:tcPr>
            <w:tcW w:type="dxa" w:w="69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CSW compliance reports feed the security governance process. Control mapping evidence, vulnerability trends, and policy drift reports provide the data loop required by 800-207's continuous improvement model.</w:t>
            </w:r>
          </w:p>
        </w:tc>
      </w:tr>
    </w:tbl>
    <w:p>
      <w:pPr>
        <w:spacing w:after="0" w:before="10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Evidence generated: SIEM telemetry feed, ADM delta report (quarterly), vulnerability trend report, compliance posture report.</w:t>
      </w:r>
    </w:p>
    <w:p>
      <w:r>
        <w:br w:type="page"/>
      </w:r>
    </w:p>
    <w:p>
      <w:pPr>
        <w:pStyle w:val="Heading1"/>
        <w:pBdr>
          <w:bottom w:val="single" w:color="0070C0" w:sz="8" w:space="4"/>
        </w:pBdr>
        <w:spacing w:after="200" w:before="400"/>
      </w:pPr>
      <w:r>
        <w:rPr>
          <w:rFonts w:ascii="Arial" w:cs="Arial" w:eastAsia="Arial" w:hAnsi="Arial"/>
          <w:b/>
          <w:bCs/>
          <w:color w:val="003366"/>
          <w:sz w:val="36"/>
          <w:szCs w:val="36"/>
        </w:rPr>
        <w:t xml:space="preserve">NIST 800-207 Deployment Models — CSW Positioning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NIST 800-207 defines three ZTA deployment models. CSW plays a role in all three:</w:t>
      </w:r>
    </w:p>
    <w:p>
      <w:pPr>
        <w:spacing w:after="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560"/>
        <w:gridCol w:w="3200"/>
        <w:gridCol w:w="1800"/>
      </w:tblGrid>
      <w:tr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Deployment Model</w:t>
            </w:r>
          </w:p>
        </w:tc>
        <w:tc>
          <w:tcPr>
            <w:tcW w:type="dxa" w:w="25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NIST 800-207 Description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CSW Role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Agent/Device-Based ZTA</w:t>
            </w:r>
          </w:p>
        </w:tc>
        <w:tc>
          <w:tcPr>
            <w:tcW w:type="dxa" w:w="25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Policy enforcement agent on each device evaluates access requests based on device posture and identity.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CSW software sensor on each workload enforces network policy and collects posture data. Primary CSW deployment model.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107C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Full Coverage</w:t>
            </w:r>
          </w:p>
        </w:tc>
      </w:tr>
      <w:tr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Enclave-Based ZTA</w:t>
            </w:r>
          </w:p>
        </w:tc>
        <w:tc>
          <w:tcPr>
            <w:tcW w:type="dxa" w:w="25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Resources are grouped into enclaves. Access controlled at the gateway. Intra-enclave traffic is implicitly trusted.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CSW replaces implicit intra-enclave trust with workload-level micro-segmentation. ADM validates all intra-enclave flows — no assumed trust within zones.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107C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Full Coverage</w:t>
            </w:r>
          </w:p>
        </w:tc>
      </w:tr>
      <w:tr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Resource Portal-Based ZTA</w:t>
            </w:r>
          </w:p>
        </w:tc>
        <w:tc>
          <w:tcPr>
            <w:tcW w:type="dxa" w:w="25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 resource portal mediates all access. Users connect to the portal which proxies requests to backend resources.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CSW protects backend resources behind the portal. Enforces that only the portal can reach backend workloads. Detects any bypass of the portal path.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107C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Full Coverage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070C0" w:sz="8" w:space="4"/>
        </w:pBdr>
        <w:spacing w:after="200" w:before="400"/>
      </w:pPr>
      <w:r>
        <w:rPr>
          <w:rFonts w:ascii="Arial" w:cs="Arial" w:eastAsia="Arial" w:hAnsi="Arial"/>
          <w:b/>
          <w:bCs/>
          <w:color w:val="003366"/>
          <w:sz w:val="36"/>
          <w:szCs w:val="36"/>
        </w:rPr>
        <w:t xml:space="preserve">Evidence Collection for NIST 800-207 Compliance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460"/>
        <w:gridCol w:w="2100"/>
        <w:gridCol w:w="2100"/>
      </w:tblGrid>
      <w:tr>
        <w:tc>
          <w:tcPr>
            <w:tcW w:type="dxa" w:w="2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Evidence Artifact</w:t>
            </w:r>
          </w:p>
        </w:tc>
        <w:tc>
          <w:tcPr>
            <w:tcW w:type="dxa" w:w="24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CSW Source</w:t>
            </w:r>
          </w:p>
        </w:tc>
        <w:tc>
          <w:tcPr>
            <w:tcW w:type="dxa" w:w="21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NIST 800-207 Tenet</w:t>
            </w:r>
          </w:p>
        </w:tc>
        <w:tc>
          <w:tcPr>
            <w:tcW w:type="dxa" w:w="21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Frequency</w:t>
            </w:r>
          </w:p>
        </w:tc>
      </w:tr>
      <w:tr>
        <w:tc>
          <w:tcPr>
            <w:tcW w:type="dxa" w:w="2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Workload inventory &amp; resource map</w:t>
            </w:r>
          </w:p>
        </w:tc>
        <w:tc>
          <w:tcPr>
            <w:tcW w:type="dxa" w:w="24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Inventory → Export + ADM</w:t>
            </w:r>
          </w:p>
        </w:tc>
        <w:tc>
          <w:tcPr>
            <w:tcW w:type="dxa" w:w="21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Tenet 1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Monthly</w:t>
            </w:r>
          </w:p>
        </w:tc>
      </w:tr>
      <w:tr>
        <w:tc>
          <w:tcPr>
            <w:tcW w:type="dxa" w:w="2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Protocol compliance report (unencrypted flows)</w:t>
            </w:r>
          </w:p>
        </w:tc>
        <w:tc>
          <w:tcPr>
            <w:tcW w:type="dxa" w:w="24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Flow Search (protocol filter)</w:t>
            </w:r>
          </w:p>
        </w:tc>
        <w:tc>
          <w:tcPr>
            <w:tcW w:type="dxa" w:w="21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Tenet 2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Quarterly</w:t>
            </w:r>
          </w:p>
        </w:tc>
      </w:tr>
      <w:tr>
        <w:tc>
          <w:tcPr>
            <w:tcW w:type="dxa" w:w="2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Per-session flow &amp; policy decision log</w:t>
            </w:r>
          </w:p>
        </w:tc>
        <w:tc>
          <w:tcPr>
            <w:tcW w:type="dxa" w:w="24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Investigate → Flow Search</w:t>
            </w:r>
          </w:p>
        </w:tc>
        <w:tc>
          <w:tcPr>
            <w:tcW w:type="dxa" w:w="21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Tenet 3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Continuous</w:t>
            </w:r>
          </w:p>
        </w:tc>
      </w:tr>
      <w:tr>
        <w:tc>
          <w:tcPr>
            <w:tcW w:type="dxa" w:w="2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ADM policy workspace + change log</w:t>
            </w:r>
          </w:p>
        </w:tc>
        <w:tc>
          <w:tcPr>
            <w:tcW w:type="dxa" w:w="24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Defend → Workspace History</w:t>
            </w:r>
          </w:p>
        </w:tc>
        <w:tc>
          <w:tcPr>
            <w:tcW w:type="dxa" w:w="21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Tenet 4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Per change</w:t>
            </w:r>
          </w:p>
        </w:tc>
      </w:tr>
      <w:tr>
        <w:tc>
          <w:tcPr>
            <w:tcW w:type="dxa" w:w="2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Vulnerability scan report (trend)</w:t>
            </w:r>
          </w:p>
        </w:tc>
        <w:tc>
          <w:tcPr>
            <w:tcW w:type="dxa" w:w="24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Investigate → Vulnerability</w:t>
            </w:r>
          </w:p>
        </w:tc>
        <w:tc>
          <w:tcPr>
            <w:tcW w:type="dxa" w:w="21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Tenet 5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Weekly</w:t>
            </w:r>
          </w:p>
        </w:tc>
      </w:tr>
      <w:tr>
        <w:tc>
          <w:tcPr>
            <w:tcW w:type="dxa" w:w="2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Process baseline + anomaly alert log</w:t>
            </w:r>
          </w:p>
        </w:tc>
        <w:tc>
          <w:tcPr>
            <w:tcW w:type="dxa" w:w="24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Alerts → Triggered Events</w:t>
            </w:r>
          </w:p>
        </w:tc>
        <w:tc>
          <w:tcPr>
            <w:tcW w:type="dxa" w:w="21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Tenet 5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Real-time</w:t>
            </w:r>
          </w:p>
        </w:tc>
      </w:tr>
      <w:tr>
        <w:tc>
          <w:tcPr>
            <w:tcW w:type="dxa" w:w="2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Authentication path enforcement log</w:t>
            </w:r>
          </w:p>
        </w:tc>
        <w:tc>
          <w:tcPr>
            <w:tcW w:type="dxa" w:w="24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Policy Analysis (LDAPS rules)</w:t>
            </w:r>
          </w:p>
        </w:tc>
        <w:tc>
          <w:tcPr>
            <w:tcW w:type="dxa" w:w="21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Tenet 6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Continuous</w:t>
            </w:r>
          </w:p>
        </w:tc>
      </w:tr>
      <w:tr>
        <w:tc>
          <w:tcPr>
            <w:tcW w:type="dxa" w:w="2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SIEM telemetry feed + ADM delta report</w:t>
            </w:r>
          </w:p>
        </w:tc>
        <w:tc>
          <w:tcPr>
            <w:tcW w:type="dxa" w:w="24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Platform → Data Export + ADM</w:t>
            </w:r>
          </w:p>
        </w:tc>
        <w:tc>
          <w:tcPr>
            <w:tcW w:type="dxa" w:w="21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Tenet 7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Continuous / Quarterly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070C0" w:sz="8" w:space="4"/>
        </w:pBdr>
        <w:spacing w:after="200" w:before="400"/>
      </w:pPr>
      <w:r>
        <w:rPr>
          <w:rFonts w:ascii="Arial" w:cs="Arial" w:eastAsia="Arial" w:hAnsi="Arial"/>
          <w:b/>
          <w:bCs/>
          <w:color w:val="003366"/>
          <w:sz w:val="36"/>
          <w:szCs w:val="36"/>
        </w:rPr>
        <w:t xml:space="preserve">Recommended Deployment Roadmap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1920"/>
        <w:gridCol w:w="5040"/>
        <w:gridCol w:w="1920"/>
      </w:tblGrid>
      <w:tr>
        <w:tc>
          <w:tcPr>
            <w:tcW w:type="dxa" w:w="48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192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50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dxa" w:w="192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Timeline</w:t>
            </w:r>
          </w:p>
        </w:tc>
      </w:tr>
      <w:tr>
        <w:tc>
          <w:tcPr>
            <w:tcW w:type="dxa" w:w="48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192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Resource Enumeration</w:t>
            </w:r>
          </w:p>
        </w:tc>
        <w:tc>
          <w:tcPr>
            <w:tcW w:type="dxa" w:w="50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Deploy CSW sensors on all workloads. Connect cloud accounts. Build complete resource inventory with labels. (Tenet 1)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Days 1–10</w:t>
            </w:r>
          </w:p>
        </w:tc>
      </w:tr>
      <w:tr>
        <w:tc>
          <w:tcPr>
            <w:tcW w:type="dxa" w:w="48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192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Communication Visibility</w:t>
            </w:r>
          </w:p>
        </w:tc>
        <w:tc>
          <w:tcPr>
            <w:tcW w:type="dxa" w:w="50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Run ADM for 2–4 weeks. Map all east-west flows. Identify unencrypted communications. (Tenet 2, 7)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Days 11–35</w:t>
            </w:r>
          </w:p>
        </w:tc>
      </w:tr>
      <w:tr>
        <w:tc>
          <w:tcPr>
            <w:tcW w:type="dxa" w:w="48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192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Per-Resource Policy</w:t>
            </w:r>
          </w:p>
        </w:tc>
        <w:tc>
          <w:tcPr>
            <w:tcW w:type="dxa" w:w="50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Build workload-level allowlist policies from ADM. Deploy default-deny for all sensitive scopes. (Tenet 3)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Days 36–50</w:t>
            </w:r>
          </w:p>
        </w:tc>
      </w:tr>
      <w:tr>
        <w:tc>
          <w:tcPr>
            <w:tcW w:type="dxa" w:w="48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192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Dynamic Policy Enablement</w:t>
            </w:r>
          </w:p>
        </w:tc>
        <w:tc>
          <w:tcPr>
            <w:tcW w:type="dxa" w:w="50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Integrate CSW API with SOAR. Enable label-driven dynamic scoping. Configure vulnerability-informed compensating controls. (Tenet 4)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Days 51–65</w:t>
            </w:r>
          </w:p>
        </w:tc>
      </w:tr>
      <w:tr>
        <w:tc>
          <w:tcPr>
            <w:tcW w:type="dxa" w:w="48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192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Continuous Posture Monitoring</w:t>
            </w:r>
          </w:p>
        </w:tc>
        <w:tc>
          <w:tcPr>
            <w:tcW w:type="dxa" w:w="50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Enable SIEM integration. Configure anomaly detection alerts. Establish weekly vulnerability reporting cadence. (Tenet 5, 7)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Days 66–75</w:t>
            </w:r>
          </w:p>
        </w:tc>
      </w:tr>
      <w:tr>
        <w:tc>
          <w:tcPr>
            <w:tcW w:type="dxa" w:w="48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type="dxa" w:w="192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Auth Path Enforcement</w:t>
            </w:r>
          </w:p>
        </w:tc>
        <w:tc>
          <w:tcPr>
            <w:tcW w:type="dxa" w:w="504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Enforce LDAPS-only paths. Block plain LDAP, Telnet, FTP to sensitive scopes. Pair with IdP/ZTNA for full Tenet 6 coverage. (Tenet 6)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Days 76–90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4" w:space="2"/>
      </w:pBdr>
    </w:pPr>
    <w:r>
      <w:rPr>
        <w:rFonts w:ascii="Arial" w:cs="Arial" w:eastAsia="Arial" w:hAnsi="Arial"/>
        <w:color w:val="888888"/>
        <w:sz w:val="16"/>
        <w:szCs w:val="16"/>
      </w:rPr>
      <w:t xml:space="preserve">© 2025 Cisco Systems, Inc.  |  Cisco Confidential  |  Page </w:t>
    </w:r>
    <w:pgNum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70C0" w:sz="6" w:space="2"/>
      </w:pBdr>
      <w:tabs>
        <w:tab w:val="right" w:pos="9026"/>
      </w:tabs>
    </w:pPr>
    <w:r>
      <w:rPr>
        <w:rFonts w:ascii="Arial" w:cs="Arial" w:eastAsia="Arial" w:hAnsi="Arial"/>
        <w:b/>
        <w:bCs/>
        <w:color w:val="003366"/>
        <w:sz w:val="16"/>
        <w:szCs w:val="16"/>
      </w:rPr>
      <w:t xml:space="preserve">CISCO SECURE WORKLOAD  |  NIST SP 800-207 ZERO TRUST ARCHITECTURE</w:t>
    </w:r>
    <w:r>
      <w:rPr>
        <w:rFonts w:ascii="Arial" w:cs="Arial" w:eastAsia="Arial" w:hAnsi="Arial"/>
        <w:color w:val="888888"/>
        <w:sz w:val="16"/>
        <w:szCs w:val="16"/>
      </w:rPr>
      <w:t xml:space="preserve">	[Customer Name] —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rial" w:cs="Arial" w:eastAsia="Arial" w:hAnsi="Arial"/>
      <w:b/>
      <w:bCs/>
      <w:color w:val="003366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300"/>
      <w:outlineLvl w:val="1"/>
    </w:pPr>
    <w:rPr>
      <w:rFonts w:ascii="Arial" w:cs="Arial" w:eastAsia="Arial" w:hAnsi="Arial"/>
      <w:b/>
      <w:bCs/>
      <w:color w:val="0070C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2026-05-01T00:02:05.833Z</dcterms:created>
  <dcterms:modified xsi:type="dcterms:W3CDTF">2026-05-01T00:02:05.834Z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