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40"/>
      </w:pPr>
      <w:r>
        <w:t xml:space="preserve"/>
      </w:r>
    </w:p>
    <w:p>
      <w:pPr>
        <w:spacing w:after="200" w:before="0"/>
        <w:jc w:val="center"/>
      </w:pPr>
      <w:r>
        <w:rPr>
          <w:rFonts w:ascii="Arial" w:cs="Arial" w:eastAsia="Arial" w:hAnsi="Arial"/>
          <w:b/>
          <w:bCs/>
          <w:color w:val="003366"/>
          <w:sz w:val="52"/>
          <w:szCs w:val="52"/>
        </w:rPr>
        <w:t xml:space="preserve">CISCO SECURE WORKLOAD</w:t>
      </w:r>
    </w:p>
    <w:p>
      <w:pPr>
        <w:spacing w:after="200" w:before="0"/>
        <w:jc w:val="center"/>
      </w:pPr>
      <w:r>
        <w:rPr>
          <w:rFonts w:ascii="Arial" w:cs="Arial" w:eastAsia="Arial" w:hAnsi="Arial"/>
          <w:b/>
          <w:bCs/>
          <w:color w:val="0070C0"/>
          <w:sz w:val="40"/>
          <w:szCs w:val="40"/>
        </w:rPr>
        <w:t xml:space="preserve">FIPS 140-2/3 Compliance Framework</w:t>
      </w:r>
    </w:p>
    <w:p>
      <w:pPr>
        <w:pBdr>
          <w:bottom w:val="single" w:color="0070C0" w:sz="12" w:space="4"/>
        </w:pBdr>
        <w:spacing w:after="400" w:before="0"/>
        <w:jc w:val="center"/>
      </w:pPr>
      <w:r>
        <w:rPr>
          <w:rFonts w:ascii="Arial" w:cs="Arial" w:eastAsia="Arial" w:hAnsi="Arial"/>
          <w:color w:val="555555"/>
          <w:sz w:val="28"/>
          <w:szCs w:val="28"/>
        </w:rPr>
        <w:t xml:space="preserve">Cryptographic Module Enforcement — CSW-Relevant Scope</w:t>
      </w:r>
    </w:p>
    <w:p>
      <w:pPr>
        <w:spacing w:after="160" w:before="400"/>
        <w:jc w:val="center"/>
      </w:pPr>
      <w:r>
        <w:rPr>
          <w:rFonts w:ascii="Arial" w:cs="Arial" w:eastAsia="Arial" w:hAnsi="Arial"/>
          <w:color w:val="444444"/>
          <w:sz w:val="28"/>
          <w:szCs w:val="28"/>
        </w:rPr>
        <w:t xml:space="preserve">Prepared for:  [Customer Name]</w:t>
      </w:r>
    </w:p>
    <w:p>
      <w:pPr>
        <w:spacing w:after="160" w:before="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Prepared by:  Cisco Systems, Inc.</w:t>
      </w:r>
    </w:p>
    <w:p>
      <w:pPr>
        <w:spacing w:after="400" w:before="0"/>
        <w:jc w:val="center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Date:  [Month Year]  |  Version 1.0  |  Cisco Confidential</w:t>
      </w:r>
    </w:p>
    <w:tbl>
      <w:tblPr>
        <w:tblW w:type="dxa" w:w="6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</w:tblGrid>
      <w:tr>
        <w:tc>
          <w:tcPr>
            <w:tcW w:type="dxa" w:w="6000"/>
            <w:tcBorders>
              <w:top w:val="single" w:color="0070C0" w:sz="1"/>
              <w:left w:val="single" w:color="0070C0" w:sz="1"/>
              <w:bottom w:val="single" w:color="0070C0" w:sz="1"/>
              <w:right w:val="single" w:color="0070C0" w:sz="1"/>
            </w:tcBorders>
            <w:shd w:fill="E8F4FC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3366"/>
                <w:sz w:val="22"/>
                <w:szCs w:val="22"/>
              </w:rPr>
              <w:t xml:space="preserve">Regulatory Standard: FIPS 140-2 / FIPS 140-3 (CSW Enforcement Scope)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Environment: Hybrid (On-Premises + Cloud)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Deployment Stage: Fresh Installation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070C0" w:sz="8" w:space="4"/>
        </w:pBdr>
        <w:spacing w:after="200" w:before="400"/>
      </w:pPr>
      <w:r>
        <w:rPr>
          <w:rFonts w:ascii="Arial" w:cs="Arial" w:eastAsia="Arial" w:hAnsi="Arial"/>
          <w:b/>
          <w:bCs/>
          <w:color w:val="003366"/>
          <w:sz w:val="36"/>
          <w:szCs w:val="36"/>
        </w:rPr>
        <w:t xml:space="preserve">Executive Summary &amp; CSW Role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FIPS 140-2/3 is the US federal standard for cryptographic module validation. Cisco Secure Workload (CSW) is not itself a cryptographic module — it does not perform encryption. However, CSW plays a critical enforcement and detection role in FIPS compliance programs by detecting non-FIPS-compliant protocols, enforcing approved communication paths, auditing cryptographic service access, and defining the network boundary around FIPS-validated infrastructure.</w:t>
      </w:r>
    </w:p>
    <w:p>
      <w:pPr>
        <w:spacing w:after="0" w:before="10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This document is scoped exclusively to areas where CSW meaningfully contributes to FIPS compliance. Cryptographic module validation (CMVP), key management, and algorithm implementation remain outside CSW scope and require FIPS-validated hardware and software components.</w:t>
      </w:r>
    </w:p>
    <w:p>
      <w:pPr>
        <w:spacing w:after="0" w:before="100"/>
      </w:pPr>
      <w: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0070C0"/>
          <w:sz w:val="28"/>
          <w:szCs w:val="28"/>
        </w:rPr>
        <w:t xml:space="preserve">CSW FIPS Contribution Summary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500"/>
        <w:gridCol w:w="1400"/>
        <w:gridCol w:w="3660"/>
        <w:gridCol w:w="1700"/>
      </w:tblGrid>
      <w:tr>
        <w:tc>
          <w:tcPr>
            <w:tcW w:type="dxa" w:w="11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dxa" w:w="1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Category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Protocol/Area</w:t>
            </w:r>
          </w:p>
        </w:tc>
        <w:tc>
          <w:tcPr>
            <w:tcW w:type="dxa" w:w="36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CSW Implementation</w:t>
            </w:r>
          </w:p>
        </w:tc>
        <w:tc>
          <w:tcPr>
            <w:tcW w:type="dxa" w:w="1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Coverage</w:t>
            </w:r>
          </w:p>
        </w:tc>
      </w:tr>
      <w:tr>
        <w:tc>
          <w:tcPr>
            <w:tcW w:type="dxa" w:w="11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Detection</w:t>
            </w:r>
          </w:p>
        </w:tc>
        <w:tc>
          <w:tcPr>
            <w:tcW w:type="dxa" w:w="1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Non-FIPS Protocols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Plain HTTP (port 80)</w:t>
            </w:r>
          </w:p>
        </w:tc>
        <w:tc>
          <w:tcPr>
            <w:tcW w:type="dxa" w:w="36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Flow telemetry protocol filter identifies unencrypted HTTP traffic from sensitive workloads</w:t>
            </w:r>
          </w:p>
        </w:tc>
        <w:tc>
          <w:tcPr>
            <w:tcW w:type="dxa" w:w="1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107C4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Full Coverage</w:t>
            </w:r>
          </w:p>
        </w:tc>
      </w:tr>
      <w:tr>
        <w:tc>
          <w:tcPr>
            <w:tcW w:type="dxa" w:w="11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Detection</w:t>
            </w:r>
          </w:p>
        </w:tc>
        <w:tc>
          <w:tcPr>
            <w:tcW w:type="dxa" w:w="1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Non-FIPS Protocols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Plain FTP (port 21)</w:t>
            </w:r>
          </w:p>
        </w:tc>
        <w:tc>
          <w:tcPr>
            <w:tcW w:type="dxa" w:w="36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Flow telemetry flags unencrypted file transfers from regulated environments</w:t>
            </w:r>
          </w:p>
        </w:tc>
        <w:tc>
          <w:tcPr>
            <w:tcW w:type="dxa" w:w="1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107C4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Full Coverage</w:t>
            </w:r>
          </w:p>
        </w:tc>
      </w:tr>
      <w:tr>
        <w:tc>
          <w:tcPr>
            <w:tcW w:type="dxa" w:w="11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Detection</w:t>
            </w:r>
          </w:p>
        </w:tc>
        <w:tc>
          <w:tcPr>
            <w:tcW w:type="dxa" w:w="1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Non-FIPS Protocols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Telnet (port 23)</w:t>
            </w:r>
          </w:p>
        </w:tc>
        <w:tc>
          <w:tcPr>
            <w:tcW w:type="dxa" w:w="36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Flow telemetry detects legacy unencrypted remote access sessions</w:t>
            </w:r>
          </w:p>
        </w:tc>
        <w:tc>
          <w:tcPr>
            <w:tcW w:type="dxa" w:w="1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107C4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Full Coverage</w:t>
            </w:r>
          </w:p>
        </w:tc>
      </w:tr>
      <w:tr>
        <w:tc>
          <w:tcPr>
            <w:tcW w:type="dxa" w:w="11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Detection</w:t>
            </w:r>
          </w:p>
        </w:tc>
        <w:tc>
          <w:tcPr>
            <w:tcW w:type="dxa" w:w="1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Non-FIPS Protocols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Plain LDAP (port 389)</w:t>
            </w:r>
          </w:p>
        </w:tc>
        <w:tc>
          <w:tcPr>
            <w:tcW w:type="dxa" w:w="36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Detects non-encrypted directory service access; enforces LDAPS migration</w:t>
            </w:r>
          </w:p>
        </w:tc>
        <w:tc>
          <w:tcPr>
            <w:tcW w:type="dxa" w:w="1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107C4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Full Coverage</w:t>
            </w:r>
          </w:p>
        </w:tc>
      </w:tr>
      <w:tr>
        <w:tc>
          <w:tcPr>
            <w:tcW w:type="dxa" w:w="11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Detection</w:t>
            </w:r>
          </w:p>
        </w:tc>
        <w:tc>
          <w:tcPr>
            <w:tcW w:type="dxa" w:w="1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Non-FIPS Protocols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SNMPv1/v2 (port 161)</w:t>
            </w:r>
          </w:p>
        </w:tc>
        <w:tc>
          <w:tcPr>
            <w:tcW w:type="dxa" w:w="36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Identifies non-encrypted network management; enforces SNMPv3</w:t>
            </w:r>
          </w:p>
        </w:tc>
        <w:tc>
          <w:tcPr>
            <w:tcW w:type="dxa" w:w="1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107C4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Full Coverage</w:t>
            </w:r>
          </w:p>
        </w:tc>
      </w:tr>
      <w:tr>
        <w:tc>
          <w:tcPr>
            <w:tcW w:type="dxa" w:w="11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Enforcement</w:t>
            </w:r>
          </w:p>
        </w:tc>
        <w:tc>
          <w:tcPr>
            <w:tcW w:type="dxa" w:w="1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Protocol Policy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Block Non-Compliant Protocols</w:t>
            </w:r>
          </w:p>
        </w:tc>
        <w:tc>
          <w:tcPr>
            <w:tcW w:type="dxa" w:w="36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CSW policy blocks all identified non-FIPS-compliant protocols at workload level</w:t>
            </w:r>
          </w:p>
        </w:tc>
        <w:tc>
          <w:tcPr>
            <w:tcW w:type="dxa" w:w="1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107C4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Full Coverage</w:t>
            </w:r>
          </w:p>
        </w:tc>
      </w:tr>
      <w:tr>
        <w:tc>
          <w:tcPr>
            <w:tcW w:type="dxa" w:w="11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Enforcement</w:t>
            </w:r>
          </w:p>
        </w:tc>
        <w:tc>
          <w:tcPr>
            <w:tcW w:type="dxa" w:w="1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Access Control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Crypto Service Boundary</w:t>
            </w:r>
          </w:p>
        </w:tc>
        <w:tc>
          <w:tcPr>
            <w:tcW w:type="dxa" w:w="36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FIPS-Boundary scope restricts HSM/KMS access to approved workloads only</w:t>
            </w:r>
          </w:p>
        </w:tc>
        <w:tc>
          <w:tcPr>
            <w:tcW w:type="dxa" w:w="1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107C4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Full Coverage</w:t>
            </w:r>
          </w:p>
        </w:tc>
      </w:tr>
      <w:tr>
        <w:tc>
          <w:tcPr>
            <w:tcW w:type="dxa" w:w="11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Audit</w:t>
            </w:r>
          </w:p>
        </w:tc>
        <w:tc>
          <w:tcPr>
            <w:tcW w:type="dxa" w:w="1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Telemetry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Crypto Service Access Log</w:t>
            </w:r>
          </w:p>
        </w:tc>
        <w:tc>
          <w:tcPr>
            <w:tcW w:type="dxa" w:w="36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Full flow audit trail for all connections to FIPS-validated cryptographic services</w:t>
            </w:r>
          </w:p>
        </w:tc>
        <w:tc>
          <w:tcPr>
            <w:tcW w:type="dxa" w:w="1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107C4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Full Coverage</w:t>
            </w:r>
          </w:p>
        </w:tc>
      </w:tr>
      <w:tr>
        <w:tc>
          <w:tcPr>
            <w:tcW w:type="dxa" w:w="11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Audit</w:t>
            </w:r>
          </w:p>
        </w:tc>
        <w:tc>
          <w:tcPr>
            <w:tcW w:type="dxa" w:w="1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Process Monitoring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Crypto Library Inventory</w:t>
            </w:r>
          </w:p>
        </w:tc>
        <w:tc>
          <w:tcPr>
            <w:tcW w:type="dxa" w:w="36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Process monitoring identifies workloads using non-validated crypto libraries</w:t>
            </w:r>
          </w:p>
        </w:tc>
        <w:tc>
          <w:tcPr>
            <w:tcW w:type="dxa" w:w="1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107C4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Full Coverage</w:t>
            </w:r>
          </w:p>
        </w:tc>
      </w:tr>
      <w:tr>
        <w:tc>
          <w:tcPr>
            <w:tcW w:type="dxa" w:w="11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Boundary</w:t>
            </w:r>
          </w:p>
        </w:tc>
        <w:tc>
          <w:tcPr>
            <w:tcW w:type="dxa" w:w="1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Scope Isolation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FIPS Module Boundary</w:t>
            </w:r>
          </w:p>
        </w:tc>
        <w:tc>
          <w:tcPr>
            <w:tcW w:type="dxa" w:w="36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CSW scope defines and enforces network boundary around FIPS-validated crypto infrastructure</w:t>
            </w:r>
          </w:p>
        </w:tc>
        <w:tc>
          <w:tcPr>
            <w:tcW w:type="dxa" w:w="1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107C4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Full Coverage</w:t>
            </w:r>
          </w:p>
        </w:tc>
      </w:tr>
      <w:tr>
        <w:tc>
          <w:tcPr>
            <w:tcW w:type="dxa" w:w="11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Supplementary</w:t>
            </w:r>
          </w:p>
        </w:tc>
        <w:tc>
          <w:tcPr>
            <w:tcW w:type="dxa" w:w="1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Not in CSW Scope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Module Validation (CMVP)</w:t>
            </w:r>
          </w:p>
        </w:tc>
        <w:tc>
          <w:tcPr>
            <w:tcW w:type="dxa" w:w="36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Cryptographic module validation is performed by NIST-approved laboratories</w:t>
            </w:r>
          </w:p>
        </w:tc>
        <w:tc>
          <w:tcPr>
            <w:tcW w:type="dxa" w:w="1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Supplementary</w:t>
            </w:r>
          </w:p>
        </w:tc>
      </w:tr>
      <w:tr>
        <w:tc>
          <w:tcPr>
            <w:tcW w:type="dxa" w:w="11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Supplementary</w:t>
            </w:r>
          </w:p>
        </w:tc>
        <w:tc>
          <w:tcPr>
            <w:tcW w:type="dxa" w:w="1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Not in CSW Scope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Key Generation &amp; Storage</w:t>
            </w:r>
          </w:p>
        </w:tc>
        <w:tc>
          <w:tcPr>
            <w:tcW w:type="dxa" w:w="36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Key lifecycle management requires FIPS-validated HSM hardware</w:t>
            </w:r>
          </w:p>
        </w:tc>
        <w:tc>
          <w:tcPr>
            <w:tcW w:type="dxa" w:w="1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Supplementary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070C0" w:sz="8" w:space="4"/>
        </w:pBdr>
        <w:spacing w:after="200" w:before="400"/>
      </w:pPr>
      <w:r>
        <w:rPr>
          <w:rFonts w:ascii="Arial" w:cs="Arial" w:eastAsia="Arial" w:hAnsi="Arial"/>
          <w:b/>
          <w:bCs/>
          <w:color w:val="003366"/>
          <w:sz w:val="36"/>
          <w:szCs w:val="36"/>
        </w:rPr>
        <w:t xml:space="preserve">Non-FIPS Protocol Detection &amp; Enforcement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0070C0"/>
          <w:sz w:val="28"/>
          <w:szCs w:val="28"/>
        </w:rPr>
        <w:t xml:space="preserve">Detection via Flow Telemetry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CSW ADM and continuous flow telemetry identify non-FIPS-compliant protocols in real time across all monitored workloads:</w:t>
      </w:r>
    </w:p>
    <w:p>
      <w:pPr>
        <w:spacing w:after="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600"/>
        <w:gridCol w:w="1500"/>
        <w:gridCol w:w="2200"/>
        <w:gridCol w:w="2160"/>
        <w:gridCol w:w="1700"/>
      </w:tblGrid>
      <w:tr>
        <w:tc>
          <w:tcPr>
            <w:tcW w:type="dxa" w:w="1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Protocol</w:t>
            </w:r>
          </w:p>
        </w:tc>
        <w:tc>
          <w:tcPr>
            <w:tcW w:type="dxa" w:w="6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Port</w:t>
            </w:r>
          </w:p>
        </w:tc>
        <w:tc>
          <w:tcPr>
            <w:tcW w:type="dxa" w:w="1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FIPS Issue</w:t>
            </w:r>
          </w:p>
        </w:tc>
        <w:tc>
          <w:tcPr>
            <w:tcW w:type="dxa" w:w="2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CSW Detection</w:t>
            </w:r>
          </w:p>
        </w:tc>
        <w:tc>
          <w:tcPr>
            <w:tcW w:type="dxa" w:w="21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Approved Replacement</w:t>
            </w:r>
          </w:p>
        </w:tc>
      </w:tr>
      <w:tr>
        <w:tc>
          <w:tcPr>
            <w:tcW w:type="dxa" w:w="1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HTTP</w:t>
            </w:r>
          </w:p>
        </w:tc>
        <w:tc>
          <w:tcPr>
            <w:tcW w:type="dxa" w:w="6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80</w:t>
            </w:r>
          </w:p>
        </w:tc>
        <w:tc>
          <w:tcPr>
            <w:tcW w:type="dxa" w:w="1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No encryption</w:t>
            </w:r>
          </w:p>
        </w:tc>
        <w:tc>
          <w:tcPr>
            <w:tcW w:type="dxa" w:w="2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Flow telemetry protocol filter</w:t>
            </w:r>
          </w:p>
        </w:tc>
        <w:tc>
          <w:tcPr>
            <w:tcW w:type="dxa" w:w="21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HTTPS (port 443)</w:t>
            </w:r>
          </w:p>
        </w:tc>
        <w:tc>
          <w:tcPr>
            <w:tcW w:type="dxa" w:w="1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107C4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Full Coverage</w:t>
            </w:r>
          </w:p>
        </w:tc>
      </w:tr>
      <w:tr>
        <w:tc>
          <w:tcPr>
            <w:tcW w:type="dxa" w:w="1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FTP</w:t>
            </w:r>
          </w:p>
        </w:tc>
        <w:tc>
          <w:tcPr>
            <w:tcW w:type="dxa" w:w="6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21</w:t>
            </w:r>
          </w:p>
        </w:tc>
        <w:tc>
          <w:tcPr>
            <w:tcW w:type="dxa" w:w="1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No encryption</w:t>
            </w:r>
          </w:p>
        </w:tc>
        <w:tc>
          <w:tcPr>
            <w:tcW w:type="dxa" w:w="2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Flow telemetry port filter</w:t>
            </w:r>
          </w:p>
        </w:tc>
        <w:tc>
          <w:tcPr>
            <w:tcW w:type="dxa" w:w="21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SFTP/FTPS (port 22/990)</w:t>
            </w:r>
          </w:p>
        </w:tc>
        <w:tc>
          <w:tcPr>
            <w:tcW w:type="dxa" w:w="1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107C4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Full Coverage</w:t>
            </w:r>
          </w:p>
        </w:tc>
      </w:tr>
      <w:tr>
        <w:tc>
          <w:tcPr>
            <w:tcW w:type="dxa" w:w="1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Telnet</w:t>
            </w:r>
          </w:p>
        </w:tc>
        <w:tc>
          <w:tcPr>
            <w:tcW w:type="dxa" w:w="6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23</w:t>
            </w:r>
          </w:p>
        </w:tc>
        <w:tc>
          <w:tcPr>
            <w:tcW w:type="dxa" w:w="1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No encryption</w:t>
            </w:r>
          </w:p>
        </w:tc>
        <w:tc>
          <w:tcPr>
            <w:tcW w:type="dxa" w:w="2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Flow telemetry port filter</w:t>
            </w:r>
          </w:p>
        </w:tc>
        <w:tc>
          <w:tcPr>
            <w:tcW w:type="dxa" w:w="21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SSH with FIPS ciphers (port 22)</w:t>
            </w:r>
          </w:p>
        </w:tc>
        <w:tc>
          <w:tcPr>
            <w:tcW w:type="dxa" w:w="1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107C4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Full Coverage</w:t>
            </w:r>
          </w:p>
        </w:tc>
      </w:tr>
      <w:tr>
        <w:tc>
          <w:tcPr>
            <w:tcW w:type="dxa" w:w="1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Plain LDAP</w:t>
            </w:r>
          </w:p>
        </w:tc>
        <w:tc>
          <w:tcPr>
            <w:tcW w:type="dxa" w:w="6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389</w:t>
            </w:r>
          </w:p>
        </w:tc>
        <w:tc>
          <w:tcPr>
            <w:tcW w:type="dxa" w:w="1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No encryption</w:t>
            </w:r>
          </w:p>
        </w:tc>
        <w:tc>
          <w:tcPr>
            <w:tcW w:type="dxa" w:w="2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Flow telemetry port filter</w:t>
            </w:r>
          </w:p>
        </w:tc>
        <w:tc>
          <w:tcPr>
            <w:tcW w:type="dxa" w:w="21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LDAPS (port 636)</w:t>
            </w:r>
          </w:p>
        </w:tc>
        <w:tc>
          <w:tcPr>
            <w:tcW w:type="dxa" w:w="1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107C4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Full Coverage</w:t>
            </w:r>
          </w:p>
        </w:tc>
      </w:tr>
      <w:tr>
        <w:tc>
          <w:tcPr>
            <w:tcW w:type="dxa" w:w="1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SNMPv1/v2</w:t>
            </w:r>
          </w:p>
        </w:tc>
        <w:tc>
          <w:tcPr>
            <w:tcW w:type="dxa" w:w="6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161</w:t>
            </w:r>
          </w:p>
        </w:tc>
        <w:tc>
          <w:tcPr>
            <w:tcW w:type="dxa" w:w="1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No encryption</w:t>
            </w:r>
          </w:p>
        </w:tc>
        <w:tc>
          <w:tcPr>
            <w:tcW w:type="dxa" w:w="2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Flow telemetry port filter</w:t>
            </w:r>
          </w:p>
        </w:tc>
        <w:tc>
          <w:tcPr>
            <w:tcW w:type="dxa" w:w="21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SNMPv3 (port 162)</w:t>
            </w:r>
          </w:p>
        </w:tc>
        <w:tc>
          <w:tcPr>
            <w:tcW w:type="dxa" w:w="1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107C4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Full Coverage</w:t>
            </w:r>
          </w:p>
        </w:tc>
      </w:tr>
      <w:tr>
        <w:tc>
          <w:tcPr>
            <w:tcW w:type="dxa" w:w="1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TLS 1.0/1.1</w:t>
            </w:r>
          </w:p>
        </w:tc>
        <w:tc>
          <w:tcPr>
            <w:tcW w:type="dxa" w:w="6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443</w:t>
            </w:r>
          </w:p>
        </w:tc>
        <w:tc>
          <w:tcPr>
            <w:tcW w:type="dxa" w:w="1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Non-approved version</w:t>
            </w:r>
          </w:p>
        </w:tc>
        <w:tc>
          <w:tcPr>
            <w:tcW w:type="dxa" w:w="2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Process + flow analysis</w:t>
            </w:r>
          </w:p>
        </w:tc>
        <w:tc>
          <w:tcPr>
            <w:tcW w:type="dxa" w:w="21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TLS 1.2+ with FIPS cipher suites</w:t>
            </w:r>
          </w:p>
        </w:tc>
        <w:tc>
          <w:tcPr>
            <w:tcW w:type="dxa" w:w="1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C55A1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Partial Coverage</w:t>
            </w:r>
          </w:p>
        </w:tc>
      </w:tr>
    </w:tbl>
    <w:p>
      <w:pPr>
        <w:spacing w:after="0" w:before="100"/>
      </w:pPr>
      <w:r>
        <w:t xml:space="preserve"/>
      </w:r>
    </w:p>
    <w:p>
      <w:pPr>
        <w:pStyle w:val="Heading1"/>
        <w:pBdr>
          <w:bottom w:val="single" w:color="0070C0" w:sz="8" w:space="4"/>
        </w:pBdr>
        <w:spacing w:after="200" w:before="400"/>
      </w:pPr>
      <w:r>
        <w:rPr>
          <w:rFonts w:ascii="Arial" w:cs="Arial" w:eastAsia="Arial" w:hAnsi="Arial"/>
          <w:b/>
          <w:bCs/>
          <w:color w:val="003366"/>
          <w:sz w:val="36"/>
          <w:szCs w:val="36"/>
        </w:rPr>
        <w:t xml:space="preserve">FIPS Boundary Architecture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CSW defines and enforces the network boundary around FIPS-validated cryptographic infrastructure:</w:t>
      </w:r>
    </w:p>
    <w:p>
      <w:pPr>
        <w:spacing w:after="0" w:before="10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Create dedicated FIPS-Boundary scope containing HSM cluster, crypto services, and KMS endpoints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Apply default-deny inbound policy — only explicitly approved workloads may access crypto services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Log all connections to FIPS-Boundary scope with full process context for compliance audit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Alert on any unapproved access attempt to FIPS-validated infrastructure</w:t>
      </w:r>
    </w:p>
    <w:p>
      <w:pPr>
        <w:spacing w:after="0" w:before="100"/>
      </w:pPr>
      <w:r>
        <w:t xml:space="preserve"/>
      </w:r>
    </w:p>
    <w:p>
      <w:pPr>
        <w:pStyle w:val="Heading1"/>
        <w:pBdr>
          <w:bottom w:val="single" w:color="0070C0" w:sz="8" w:space="4"/>
        </w:pBdr>
        <w:spacing w:after="200" w:before="400"/>
      </w:pPr>
      <w:r>
        <w:rPr>
          <w:rFonts w:ascii="Arial" w:cs="Arial" w:eastAsia="Arial" w:hAnsi="Arial"/>
          <w:b/>
          <w:bCs/>
          <w:color w:val="003366"/>
          <w:sz w:val="36"/>
          <w:szCs w:val="36"/>
        </w:rPr>
        <w:t xml:space="preserve">FIPS Compliance Evidence Package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500"/>
        <w:gridCol w:w="1760"/>
        <w:gridCol w:w="2300"/>
      </w:tblGrid>
      <w:tr>
        <w:tc>
          <w:tcPr>
            <w:tcW w:type="dxa" w:w="2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Evidence Item</w:t>
            </w:r>
          </w:p>
        </w:tc>
        <w:tc>
          <w:tcPr>
            <w:tcW w:type="dxa" w:w="2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CSW Source</w:t>
            </w:r>
          </w:p>
        </w:tc>
        <w:tc>
          <w:tcPr>
            <w:tcW w:type="dxa" w:w="17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FIPS Relevance</w:t>
            </w:r>
          </w:p>
        </w:tc>
        <w:tc>
          <w:tcPr>
            <w:tcW w:type="dxa" w:w="23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Frequency</w:t>
            </w:r>
          </w:p>
        </w:tc>
      </w:tr>
      <w:tr>
        <w:tc>
          <w:tcPr>
            <w:tcW w:type="dxa" w:w="2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Non-FIPS protocol flow report</w:t>
            </w:r>
          </w:p>
        </w:tc>
        <w:tc>
          <w:tcPr>
            <w:tcW w:type="dxa" w:w="2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Investigate → Flow Search (port filter)</w:t>
            </w:r>
          </w:p>
        </w:tc>
        <w:tc>
          <w:tcPr>
            <w:tcW w:type="dxa" w:w="17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Protocol compliance</w:t>
            </w:r>
          </w:p>
        </w:tc>
        <w:tc>
          <w:tcPr>
            <w:tcW w:type="dxa" w:w="1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Weekly</w:t>
            </w:r>
          </w:p>
        </w:tc>
      </w:tr>
      <w:tr>
        <w:tc>
          <w:tcPr>
            <w:tcW w:type="dxa" w:w="2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FIPS-Boundary access log</w:t>
            </w:r>
          </w:p>
        </w:tc>
        <w:tc>
          <w:tcPr>
            <w:tcW w:type="dxa" w:w="2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Investigate → Flow Search (scope filter)</w:t>
            </w:r>
          </w:p>
        </w:tc>
        <w:tc>
          <w:tcPr>
            <w:tcW w:type="dxa" w:w="17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Module boundary</w:t>
            </w:r>
          </w:p>
        </w:tc>
        <w:tc>
          <w:tcPr>
            <w:tcW w:type="dxa" w:w="1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Continuous</w:t>
            </w:r>
          </w:p>
        </w:tc>
      </w:tr>
      <w:tr>
        <w:tc>
          <w:tcPr>
            <w:tcW w:type="dxa" w:w="2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Crypto service process audit</w:t>
            </w:r>
          </w:p>
        </w:tc>
        <w:tc>
          <w:tcPr>
            <w:tcW w:type="dxa" w:w="2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Investigate → Process Search</w:t>
            </w:r>
          </w:p>
        </w:tc>
        <w:tc>
          <w:tcPr>
            <w:tcW w:type="dxa" w:w="17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Module usage</w:t>
            </w:r>
          </w:p>
        </w:tc>
        <w:tc>
          <w:tcPr>
            <w:tcW w:type="dxa" w:w="1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Monthly</w:t>
            </w:r>
          </w:p>
        </w:tc>
      </w:tr>
      <w:tr>
        <w:tc>
          <w:tcPr>
            <w:tcW w:type="dxa" w:w="2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Protocol enforcement policy</w:t>
            </w:r>
          </w:p>
        </w:tc>
        <w:tc>
          <w:tcPr>
            <w:tcW w:type="dxa" w:w="2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Defend → Policy Analysis</w:t>
            </w:r>
          </w:p>
        </w:tc>
        <w:tc>
          <w:tcPr>
            <w:tcW w:type="dxa" w:w="17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Protocol enforcement</w:t>
            </w:r>
          </w:p>
        </w:tc>
        <w:tc>
          <w:tcPr>
            <w:tcW w:type="dxa" w:w="1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Monthly</w:t>
            </w:r>
          </w:p>
        </w:tc>
      </w:tr>
      <w:tr>
        <w:tc>
          <w:tcPr>
            <w:tcW w:type="dxa" w:w="2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HSM/KMS access audit</w:t>
            </w:r>
          </w:p>
        </w:tc>
        <w:tc>
          <w:tcPr>
            <w:tcW w:type="dxa" w:w="2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Flow Search → FIPS-Boundary scope</w:t>
            </w:r>
          </w:p>
        </w:tc>
        <w:tc>
          <w:tcPr>
            <w:tcW w:type="dxa" w:w="17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Key management audit</w:t>
            </w:r>
          </w:p>
        </w:tc>
        <w:tc>
          <w:tcPr>
            <w:tcW w:type="dxa" w:w="1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Continuous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9D9" w:sz="4" w:space="2"/>
      </w:pBdr>
    </w:pPr>
    <w:r>
      <w:rPr>
        <w:rFonts w:ascii="Arial" w:cs="Arial" w:eastAsia="Arial" w:hAnsi="Arial"/>
        <w:color w:val="888888"/>
        <w:sz w:val="16"/>
        <w:szCs w:val="16"/>
      </w:rPr>
      <w:t xml:space="preserve">© 2025 Cisco Systems, Inc. All rights reserved.  |  Cisco Confidential  |  Page </w:t>
    </w:r>
    <w:pgNum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70C0" w:sz="6" w:space="2"/>
      </w:pBdr>
      <w:tabs>
        <w:tab w:val="right" w:pos="9026"/>
      </w:tabs>
    </w:pPr>
    <w:r>
      <w:rPr>
        <w:rFonts w:ascii="Arial" w:cs="Arial" w:eastAsia="Arial" w:hAnsi="Arial"/>
        <w:b/>
        <w:bCs/>
        <w:color w:val="003366"/>
        <w:sz w:val="16"/>
        <w:szCs w:val="16"/>
      </w:rPr>
      <w:t xml:space="preserve">CISCO SECURE WORKLOAD  |  FIPS 140-2/3 COMPLIANCE FRAMEWORK</w:t>
    </w:r>
    <w:r>
      <w:rPr>
        <w:rFonts w:ascii="Arial" w:cs="Arial" w:eastAsia="Arial" w:hAnsi="Arial"/>
        <w:color w:val="888888"/>
        <w:sz w:val="16"/>
        <w:szCs w:val="16"/>
      </w:rPr>
      <w:t xml:space="preserve">	[Customer Name] —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00"/>
      <w:outlineLvl w:val="0"/>
    </w:pPr>
    <w:rPr>
      <w:rFonts w:ascii="Arial" w:cs="Arial" w:eastAsia="Arial" w:hAnsi="Arial"/>
      <w:b/>
      <w:bCs/>
      <w:color w:val="003366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300"/>
      <w:outlineLvl w:val="1"/>
    </w:pPr>
    <w:rPr>
      <w:rFonts w:ascii="Arial" w:cs="Arial" w:eastAsia="Arial" w:hAnsi="Arial"/>
      <w:b/>
      <w:bCs/>
      <w:color w:val="0070C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2026-04-29T23:36:30.161Z</dcterms:created>
  <dcterms:modified xsi:type="dcterms:W3CDTF">2026-04-29T23:36:30.161Z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