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440"/>
      </w:pPr>
      <w:r>
        <w:t xml:space="preserve"/>
      </w:r>
    </w:p>
    <w:p>
      <w:pPr>
        <w:spacing w:after="200" w:before="0"/>
        <w:jc w:val="center"/>
      </w:pPr>
      <w:r>
        <w:rPr>
          <w:rFonts w:ascii="Arial" w:cs="Arial" w:eastAsia="Arial" w:hAnsi="Arial"/>
          <w:b/>
          <w:bCs/>
          <w:color w:val="003366"/>
          <w:sz w:val="52"/>
          <w:szCs w:val="52"/>
        </w:rPr>
        <w:t xml:space="preserve">CISCO SECURE WORKLOAD</w:t>
      </w:r>
    </w:p>
    <w:p>
      <w:pPr>
        <w:spacing w:after="400" w:before="0"/>
        <w:jc w:val="center"/>
      </w:pPr>
      <w:r>
        <w:rPr>
          <w:rFonts w:ascii="Arial" w:cs="Arial" w:eastAsia="Arial" w:hAnsi="Arial"/>
          <w:b/>
          <w:bCs/>
          <w:color w:val="0070C0"/>
          <w:sz w:val="40"/>
          <w:szCs w:val="40"/>
        </w:rPr>
        <w:t xml:space="preserve">HIPAA Compliance Framework</w:t>
      </w:r>
    </w:p>
    <w:p>
      <w:pPr>
        <w:pBdr>
          <w:bottom w:val="single" w:color="0070C0" w:sz="12" w:space="4"/>
        </w:pBdr>
        <w:spacing w:after="400" w:before="0"/>
        <w:jc w:val="center"/>
      </w:pPr>
      <w:r>
        <w:t xml:space="preserve"/>
      </w:r>
    </w:p>
    <w:p>
      <w:pPr>
        <w:spacing w:after="160" w:before="400"/>
        <w:jc w:val="center"/>
      </w:pPr>
      <w:r>
        <w:rPr>
          <w:rFonts w:ascii="Arial" w:cs="Arial" w:eastAsia="Arial" w:hAnsi="Arial"/>
          <w:color w:val="444444"/>
          <w:sz w:val="28"/>
          <w:szCs w:val="28"/>
        </w:rPr>
        <w:t xml:space="preserve">Prepared for:  [Customer Name]</w:t>
      </w:r>
    </w:p>
    <w:p>
      <w:pPr>
        <w:spacing w:after="160" w:before="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Prepared by:  Cisco Systems, Inc.</w:t>
      </w:r>
    </w:p>
    <w:p>
      <w:pPr>
        <w:spacing w:after="400" w:before="0"/>
        <w:jc w:val="center"/>
      </w:pPr>
      <w:r>
        <w:rPr>
          <w:rFonts w:ascii="Arial" w:cs="Arial" w:eastAsia="Arial" w:hAnsi="Arial"/>
          <w:color w:val="888888"/>
          <w:sz w:val="22"/>
          <w:szCs w:val="22"/>
        </w:rPr>
        <w:t xml:space="preserve">Date:  [Month Year]  |  Version 1.0  |  Cisco Confidential</w:t>
      </w:r>
    </w:p>
    <w:tbl>
      <w:tblPr>
        <w:tblW w:type="dxa" w:w="6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0"/>
      </w:tblGrid>
      <w:tr>
        <w:tc>
          <w:tcPr>
            <w:tcW w:type="dxa" w:w="6000"/>
            <w:tcBorders>
              <w:top w:val="single" w:color="0070C0" w:sz="1"/>
              <w:left w:val="single" w:color="0070C0" w:sz="1"/>
              <w:bottom w:val="single" w:color="0070C0" w:sz="1"/>
              <w:right w:val="single" w:color="0070C0" w:sz="1"/>
            </w:tcBorders>
            <w:shd w:fill="E8F4FC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3366"/>
                <w:sz w:val="22"/>
                <w:szCs w:val="22"/>
              </w:rPr>
              <w:t xml:space="preserve">Regulatory Standard: HIPAA Security Rule (45 CFR Part 164)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Environment: Hybrid (On-Premises + AWS / Azure / GCP)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Deployment Stage: Fresh Installation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0070C0" w:sz="8" w:space="4"/>
        </w:pBdr>
        <w:spacing w:after="200" w:before="400"/>
      </w:pPr>
      <w:r>
        <w:rPr>
          <w:rFonts w:ascii="Arial" w:cs="Arial" w:eastAsia="Arial" w:hAnsi="Arial"/>
          <w:b/>
          <w:bCs/>
          <w:color w:val="003366"/>
          <w:sz w:val="36"/>
          <w:szCs w:val="36"/>
        </w:rPr>
        <w:t xml:space="preserve">Executive Summary</w:t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Healthcare organizations face escalating regulatory obligations under the HIPAA Security Rule to protect electronic Protected Health Information (ePHI). This report documents how Cisco Secure Workload (CSW) enables [Customer Name] to satisfy HIPAA Security Rule requirements through workload-level visibility, micro-segmentation, real-time monitoring, and forensic telemetry.</w:t>
      </w:r>
    </w:p>
    <w:p>
      <w:pPr>
        <w:spacing w:after="0" w:before="10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CSW provides the technical foundation for a defense-in-depth approach to ePHI protection — ensuring that access to sensitive clinical and billing data is continuously authorized, monitored, and auditable across on-premises and cloud environments.</w:t>
      </w:r>
    </w:p>
    <w:p>
      <w:pPr>
        <w:spacing w:after="0" w:before="100"/>
      </w:pPr>
      <w:r>
        <w:t xml:space="preserve"/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0070C0"/>
          <w:sz w:val="28"/>
          <w:szCs w:val="28"/>
        </w:rPr>
        <w:t xml:space="preserve">Compliance Posture Summary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3760"/>
        <w:gridCol w:w="1800"/>
      </w:tblGrid>
      <w:tr>
        <w:tc>
          <w:tcPr>
            <w:tcW w:type="dxa" w:w="38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00336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Safeguard Category</w:t>
            </w:r>
          </w:p>
        </w:tc>
        <w:tc>
          <w:tcPr>
            <w:tcW w:type="dxa" w:w="37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00336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Controls Addressed</w:t>
            </w:r>
          </w:p>
        </w:tc>
        <w:tc>
          <w:tcPr>
            <w:tcW w:type="dxa" w:w="18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00336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Coverage</w:t>
            </w:r>
          </w:p>
        </w:tc>
      </w:tr>
      <w:tr>
        <w:tc>
          <w:tcPr>
            <w:tcW w:type="dxa" w:w="38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Administrative Safeguards §164.308</w:t>
            </w:r>
          </w:p>
        </w:tc>
        <w:tc>
          <w:tcPr>
            <w:tcW w:type="dxa" w:w="37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Risk analysis, access management, incident response, contingency planning, evaluation</w:t>
            </w:r>
          </w:p>
        </w:tc>
        <w:tc>
          <w:tcPr>
            <w:tcW w:type="dxa" w:w="18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107C4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Full Coverage</w:t>
            </w:r>
          </w:p>
        </w:tc>
      </w:tr>
      <w:tr>
        <w:tc>
          <w:tcPr>
            <w:tcW w:type="dxa" w:w="38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Physical Safeguards §164.310</w:t>
            </w:r>
          </w:p>
        </w:tc>
        <w:tc>
          <w:tcPr>
            <w:tcW w:type="dxa" w:w="37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Workload isolation and access boundary enforcement</w:t>
            </w:r>
          </w:p>
        </w:tc>
        <w:tc>
          <w:tcPr>
            <w:tcW w:type="dxa" w:w="18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C55A1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Partial Coverage</w:t>
            </w:r>
          </w:p>
        </w:tc>
      </w:tr>
      <w:tr>
        <w:tc>
          <w:tcPr>
            <w:tcW w:type="dxa" w:w="38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Technical Safeguards §164.312</w:t>
            </w:r>
          </w:p>
        </w:tc>
        <w:tc>
          <w:tcPr>
            <w:tcW w:type="dxa" w:w="37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Access controls, audit controls, integrity, authentication, encryption in transit</w:t>
            </w:r>
          </w:p>
        </w:tc>
        <w:tc>
          <w:tcPr>
            <w:tcW w:type="dxa" w:w="18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107C4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Full Coverage</w:t>
            </w:r>
          </w:p>
        </w:tc>
      </w:tr>
      <w:tr>
        <w:tc>
          <w:tcPr>
            <w:tcW w:type="dxa" w:w="38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Organizational Requirements §164.314</w:t>
            </w:r>
          </w:p>
        </w:tc>
        <w:tc>
          <w:tcPr>
            <w:tcW w:type="dxa" w:w="37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Business Associate scope definition, third-party access control</w:t>
            </w:r>
          </w:p>
        </w:tc>
        <w:tc>
          <w:tcPr>
            <w:tcW w:type="dxa" w:w="18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0070C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Evidence Required</w:t>
            </w:r>
          </w:p>
        </w:tc>
      </w:tr>
    </w:tbl>
    <w:p>
      <w:pPr>
        <w:spacing w:after="0" w:before="10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22"/>
          <w:szCs w:val="22"/>
        </w:rPr>
        <w:t xml:space="preserve">Note: Physical Safeguards relate to physical facility controls (locks, cameras, workstation policies) which are outside CSW scope. CSW directly complements these controls through workload isolation and logical access enforcement.</w:t>
      </w:r>
    </w:p>
    <w:p>
      <w:r>
        <w:br w:type="page"/>
      </w:r>
    </w:p>
    <w:p>
      <w:pPr>
        <w:pStyle w:val="Heading1"/>
        <w:pBdr>
          <w:bottom w:val="single" w:color="0070C0" w:sz="8" w:space="4"/>
        </w:pBdr>
        <w:spacing w:after="200" w:before="400"/>
      </w:pPr>
      <w:r>
        <w:rPr>
          <w:rFonts w:ascii="Arial" w:cs="Arial" w:eastAsia="Arial" w:hAnsi="Arial"/>
          <w:b/>
          <w:bCs/>
          <w:color w:val="003366"/>
          <w:sz w:val="36"/>
          <w:szCs w:val="36"/>
        </w:rPr>
        <w:t xml:space="preserve">CSW Capabilities &amp; HIPAA Alignment</w:t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Cisco Secure Workload delivers four core capability pillars that directly address HIPAA Security Rule requirements:</w:t>
      </w:r>
    </w:p>
    <w:p>
      <w:pPr>
        <w:spacing w:after="0" w:before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560"/>
        <w:gridCol w:w="3600"/>
      </w:tblGrid>
      <w:tr>
        <w:tc>
          <w:tcPr>
            <w:tcW w:type="dxa" w:w="22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00336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CSW Capability</w:t>
            </w:r>
          </w:p>
        </w:tc>
        <w:tc>
          <w:tcPr>
            <w:tcW w:type="dxa" w:w="35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00336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36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00336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HIPAA Controls Satisfied</w:t>
            </w:r>
          </w:p>
        </w:tc>
      </w:tr>
      <w:tr>
        <w:tc>
          <w:tcPr>
            <w:tcW w:type="dxa" w:w="22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Application Dependency Mapping (ADM)</w:t>
            </w:r>
          </w:p>
        </w:tc>
        <w:tc>
          <w:tcPr>
            <w:tcW w:type="dxa" w:w="35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Discovers all workload-to-workload communication flows, processes, and users. Identifies ePHI application boundaries without prior knowledge.</w:t>
            </w:r>
          </w:p>
        </w:tc>
        <w:tc>
          <w:tcPr>
            <w:tcW w:type="dxa" w:w="36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§164.308(a)(1) Risk Analysis</w:t>
            </w:r>
          </w:p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§164.312(a) Access Control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§164.308(a)(3) Workforce Access</w:t>
            </w:r>
          </w:p>
        </w:tc>
      </w:tr>
      <w:tr>
        <w:tc>
          <w:tcPr>
            <w:tcW w:type="dxa" w:w="22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Micro-Segmentation</w:t>
            </w:r>
          </w:p>
        </w:tc>
        <w:tc>
          <w:tcPr>
            <w:tcW w:type="dxa" w:w="35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Enforces allowlist policies at the workload level — not just perimeter firewalls. Isolates ePHI systems from unauthorized lateral access.</w:t>
            </w:r>
          </w:p>
        </w:tc>
        <w:tc>
          <w:tcPr>
            <w:tcW w:type="dxa" w:w="36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§164.312(a)(1) Access Control</w:t>
            </w:r>
          </w:p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§164.312(e) Encryption/Isolation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§164.308(a)(6) Incident Response</w:t>
            </w:r>
          </w:p>
        </w:tc>
      </w:tr>
      <w:tr>
        <w:tc>
          <w:tcPr>
            <w:tcW w:type="dxa" w:w="22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Vulnerability Detection</w:t>
            </w:r>
          </w:p>
        </w:tc>
        <w:tc>
          <w:tcPr>
            <w:tcW w:type="dxa" w:w="35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Continuously scans workloads for CVEs with CVSS scoring. Prioritizes risk remediation on ePHI-bearing systems.</w:t>
            </w:r>
          </w:p>
        </w:tc>
        <w:tc>
          <w:tcPr>
            <w:tcW w:type="dxa" w:w="36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§164.308(a)(1) Risk Analysis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§164.308(a)(8) Evaluation</w:t>
            </w:r>
          </w:p>
        </w:tc>
      </w:tr>
      <w:tr>
        <w:tc>
          <w:tcPr>
            <w:tcW w:type="dxa" w:w="22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Forensic Telemetry</w:t>
            </w:r>
          </w:p>
        </w:tc>
        <w:tc>
          <w:tcPr>
            <w:tcW w:type="dxa" w:w="35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Retains network flow and process-level audit trail across all monitored workloads for breach investigation and compliance reporting.</w:t>
            </w:r>
          </w:p>
        </w:tc>
        <w:tc>
          <w:tcPr>
            <w:tcW w:type="dxa" w:w="36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§164.312(b) Audit Controls</w:t>
            </w:r>
          </w:p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§164.308(a)(6) Incident Response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§164.308(a)(1) Risk Analysis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0070C0" w:sz="8" w:space="4"/>
        </w:pBdr>
        <w:spacing w:after="200" w:before="400"/>
      </w:pPr>
      <w:r>
        <w:rPr>
          <w:rFonts w:ascii="Arial" w:cs="Arial" w:eastAsia="Arial" w:hAnsi="Arial"/>
          <w:b/>
          <w:bCs/>
          <w:color w:val="003366"/>
          <w:sz w:val="36"/>
          <w:szCs w:val="36"/>
        </w:rPr>
        <w:t xml:space="preserve">HIPAA Control Mapping Detail</w:t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The following table maps each applicable HIPAA Security Rule control to the corresponding CSW capability and implementation approach.</w:t>
      </w:r>
    </w:p>
    <w:p>
      <w:pPr>
        <w:spacing w:after="0" w:before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200"/>
        <w:gridCol w:w="1700"/>
        <w:gridCol w:w="2100"/>
        <w:gridCol w:w="2360"/>
        <w:gridCol w:w="700"/>
      </w:tblGrid>
      <w:tr>
        <w:tc>
          <w:tcPr>
            <w:tcW w:type="dxa" w:w="13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00336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Safeguard</w:t>
            </w:r>
          </w:p>
        </w:tc>
        <w:tc>
          <w:tcPr>
            <w:tcW w:type="dxa" w:w="12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00336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Ref</w:t>
            </w:r>
          </w:p>
        </w:tc>
        <w:tc>
          <w:tcPr>
            <w:tcW w:type="dxa" w:w="17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00336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Control</w:t>
            </w:r>
          </w:p>
        </w:tc>
        <w:tc>
          <w:tcPr>
            <w:tcW w:type="dxa" w:w="21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00336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HIPAA Requirement</w:t>
            </w:r>
          </w:p>
        </w:tc>
        <w:tc>
          <w:tcPr>
            <w:tcW w:type="dxa" w:w="23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00336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CSW Implementation</w:t>
            </w:r>
          </w:p>
        </w:tc>
        <w:tc>
          <w:tcPr>
            <w:tcW w:type="dxa" w:w="7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00336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13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Technical</w:t>
            </w:r>
          </w:p>
        </w:tc>
        <w:tc>
          <w:tcPr>
            <w:tcW w:type="dxa" w:w="12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§164.312(a)(2)(i)</w:t>
            </w:r>
          </w:p>
        </w:tc>
        <w:tc>
          <w:tcPr>
            <w:tcW w:type="dxa" w:w="17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Unique User Identification</w:t>
            </w:r>
          </w:p>
        </w:tc>
        <w:tc>
          <w:tcPr>
            <w:tcW w:type="dxa" w:w="21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Assign unique name or number for identifying and tracking user identity.</w:t>
            </w:r>
          </w:p>
        </w:tc>
        <w:tc>
          <w:tcPr>
            <w:tcW w:type="dxa" w:w="23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CSW ADM captures process-user context per workload. Anomaly detection alerts on shared or generic credential usage patterns.</w:t>
            </w:r>
          </w:p>
        </w:tc>
        <w:tc>
          <w:tcPr>
            <w:tcW w:type="dxa" w:w="18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107C4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Full Coverage</w:t>
            </w:r>
          </w:p>
        </w:tc>
      </w:tr>
      <w:tr>
        <w:tc>
          <w:tcPr>
            <w:tcW w:type="dxa" w:w="13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Technical</w:t>
            </w:r>
          </w:p>
        </w:tc>
        <w:tc>
          <w:tcPr>
            <w:tcW w:type="dxa" w:w="12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§164.312(a)(2)(ii)</w:t>
            </w:r>
          </w:p>
        </w:tc>
        <w:tc>
          <w:tcPr>
            <w:tcW w:type="dxa" w:w="17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Emergency Access Procedure</w:t>
            </w:r>
          </w:p>
        </w:tc>
        <w:tc>
          <w:tcPr>
            <w:tcW w:type="dxa" w:w="21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Establish procedures for obtaining necessary ePHI during an emergency.</w:t>
            </w:r>
          </w:p>
        </w:tc>
        <w:tc>
          <w:tcPr>
            <w:tcW w:type="dxa" w:w="23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Break-glass policy workspace configured in CSW with alert-only mode. Emergency IP ranges defined with expanded but audited access.</w:t>
            </w:r>
          </w:p>
        </w:tc>
        <w:tc>
          <w:tcPr>
            <w:tcW w:type="dxa" w:w="18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107C4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Full Coverage</w:t>
            </w:r>
          </w:p>
        </w:tc>
      </w:tr>
      <w:tr>
        <w:tc>
          <w:tcPr>
            <w:tcW w:type="dxa" w:w="13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Technical</w:t>
            </w:r>
          </w:p>
        </w:tc>
        <w:tc>
          <w:tcPr>
            <w:tcW w:type="dxa" w:w="12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§164.312(b)</w:t>
            </w:r>
          </w:p>
        </w:tc>
        <w:tc>
          <w:tcPr>
            <w:tcW w:type="dxa" w:w="17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Audit Controls</w:t>
            </w:r>
          </w:p>
        </w:tc>
        <w:tc>
          <w:tcPr>
            <w:tcW w:type="dxa" w:w="21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Implement mechanisms to record and examine activity in systems containing ePHI.</w:t>
            </w:r>
          </w:p>
        </w:tc>
        <w:tc>
          <w:tcPr>
            <w:tcW w:type="dxa" w:w="23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CSW retains full network flow and process telemetry. Flow search enables retrospective audit of any ePHI workload interaction.</w:t>
            </w:r>
          </w:p>
        </w:tc>
        <w:tc>
          <w:tcPr>
            <w:tcW w:type="dxa" w:w="18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107C4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Full Coverage</w:t>
            </w:r>
          </w:p>
        </w:tc>
      </w:tr>
      <w:tr>
        <w:tc>
          <w:tcPr>
            <w:tcW w:type="dxa" w:w="13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Technical</w:t>
            </w:r>
          </w:p>
        </w:tc>
        <w:tc>
          <w:tcPr>
            <w:tcW w:type="dxa" w:w="12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§164.312(c)(1)</w:t>
            </w:r>
          </w:p>
        </w:tc>
        <w:tc>
          <w:tcPr>
            <w:tcW w:type="dxa" w:w="17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Integrity Controls</w:t>
            </w:r>
          </w:p>
        </w:tc>
        <w:tc>
          <w:tcPr>
            <w:tcW w:type="dxa" w:w="21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Protect ePHI from improper alteration or destruction.</w:t>
            </w:r>
          </w:p>
        </w:tc>
        <w:tc>
          <w:tcPr>
            <w:tcW w:type="dxa" w:w="23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CSW policy enforcement blocks unauthorized write-path access. Process hash verification detects workload tampering.</w:t>
            </w:r>
          </w:p>
        </w:tc>
        <w:tc>
          <w:tcPr>
            <w:tcW w:type="dxa" w:w="18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107C4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Full Coverage</w:t>
            </w:r>
          </w:p>
        </w:tc>
      </w:tr>
      <w:tr>
        <w:tc>
          <w:tcPr>
            <w:tcW w:type="dxa" w:w="13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Technical</w:t>
            </w:r>
          </w:p>
        </w:tc>
        <w:tc>
          <w:tcPr>
            <w:tcW w:type="dxa" w:w="12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§164.312(d)</w:t>
            </w:r>
          </w:p>
        </w:tc>
        <w:tc>
          <w:tcPr>
            <w:tcW w:type="dxa" w:w="17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Authentication</w:t>
            </w:r>
          </w:p>
        </w:tc>
        <w:tc>
          <w:tcPr>
            <w:tcW w:type="dxa" w:w="21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Verify that a person or entity seeking access to ePHI is the one claimed.</w:t>
            </w:r>
          </w:p>
        </w:tc>
        <w:tc>
          <w:tcPr>
            <w:tcW w:type="dxa" w:w="23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CSW enforces LDAPS/Kerberos-only paths to ePHI systems. Unencrypted LDAP (port 389) blocked via policy.</w:t>
            </w:r>
          </w:p>
        </w:tc>
        <w:tc>
          <w:tcPr>
            <w:tcW w:type="dxa" w:w="18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107C4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Full Coverage</w:t>
            </w:r>
          </w:p>
        </w:tc>
      </w:tr>
      <w:tr>
        <w:tc>
          <w:tcPr>
            <w:tcW w:type="dxa" w:w="13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Technical</w:t>
            </w:r>
          </w:p>
        </w:tc>
        <w:tc>
          <w:tcPr>
            <w:tcW w:type="dxa" w:w="12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§164.312(e)(2)(ii)</w:t>
            </w:r>
          </w:p>
        </w:tc>
        <w:tc>
          <w:tcPr>
            <w:tcW w:type="dxa" w:w="17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Encryption in Transit</w:t>
            </w:r>
          </w:p>
        </w:tc>
        <w:tc>
          <w:tcPr>
            <w:tcW w:type="dxa" w:w="21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Implement a mechanism to encrypt ePHI in transit when appropriate.</w:t>
            </w:r>
          </w:p>
        </w:tc>
        <w:tc>
          <w:tcPr>
            <w:tcW w:type="dxa" w:w="23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CSW detects unencrypted protocols (HTTP, FTP, plain LDAP) on PHI-Zone workloads. Policy enforces HTTPS/SFTP/LDAPS.</w:t>
            </w:r>
          </w:p>
        </w:tc>
        <w:tc>
          <w:tcPr>
            <w:tcW w:type="dxa" w:w="18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107C4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Full Coverage</w:t>
            </w:r>
          </w:p>
        </w:tc>
      </w:tr>
      <w:tr>
        <w:tc>
          <w:tcPr>
            <w:tcW w:type="dxa" w:w="13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Administrative</w:t>
            </w:r>
          </w:p>
        </w:tc>
        <w:tc>
          <w:tcPr>
            <w:tcW w:type="dxa" w:w="12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§164.308(a)(1)</w:t>
            </w:r>
          </w:p>
        </w:tc>
        <w:tc>
          <w:tcPr>
            <w:tcW w:type="dxa" w:w="17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Risk Analysis</w:t>
            </w:r>
          </w:p>
        </w:tc>
        <w:tc>
          <w:tcPr>
            <w:tcW w:type="dxa" w:w="21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Conduct an accurate and thorough assessment of the potential risks and vulnerabilities to ePHI.</w:t>
            </w:r>
          </w:p>
        </w:tc>
        <w:tc>
          <w:tcPr>
            <w:tcW w:type="dxa" w:w="23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CSW vulnerability detection provides continuous CVE assessment on all PHI-Zone workloads. CVSS-scored reports exportable for risk register input.</w:t>
            </w:r>
          </w:p>
        </w:tc>
        <w:tc>
          <w:tcPr>
            <w:tcW w:type="dxa" w:w="18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107C4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Full Coverage</w:t>
            </w:r>
          </w:p>
        </w:tc>
      </w:tr>
      <w:tr>
        <w:tc>
          <w:tcPr>
            <w:tcW w:type="dxa" w:w="13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Administrative</w:t>
            </w:r>
          </w:p>
        </w:tc>
        <w:tc>
          <w:tcPr>
            <w:tcW w:type="dxa" w:w="12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§164.308(a)(3)</w:t>
            </w:r>
          </w:p>
        </w:tc>
        <w:tc>
          <w:tcPr>
            <w:tcW w:type="dxa" w:w="17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Workforce Access Management</w:t>
            </w:r>
          </w:p>
        </w:tc>
        <w:tc>
          <w:tcPr>
            <w:tcW w:type="dxa" w:w="21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Implement procedures for authorizing access to ePHI.</w:t>
            </w:r>
          </w:p>
        </w:tc>
        <w:tc>
          <w:tcPr>
            <w:tcW w:type="dxa" w:w="23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CSW scope-based policies define which workloads can access ePHI systems. Policy changes require approved workflow.</w:t>
            </w:r>
          </w:p>
        </w:tc>
        <w:tc>
          <w:tcPr>
            <w:tcW w:type="dxa" w:w="18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107C4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Full Coverage</w:t>
            </w:r>
          </w:p>
        </w:tc>
      </w:tr>
      <w:tr>
        <w:tc>
          <w:tcPr>
            <w:tcW w:type="dxa" w:w="13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Administrative</w:t>
            </w:r>
          </w:p>
        </w:tc>
        <w:tc>
          <w:tcPr>
            <w:tcW w:type="dxa" w:w="12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§164.308(a)(6)</w:t>
            </w:r>
          </w:p>
        </w:tc>
        <w:tc>
          <w:tcPr>
            <w:tcW w:type="dxa" w:w="17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Security Incident Procedures</w:t>
            </w:r>
          </w:p>
        </w:tc>
        <w:tc>
          <w:tcPr>
            <w:tcW w:type="dxa" w:w="21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Implement policies to address security incidents, including identifying and responding to suspected incidents.</w:t>
            </w:r>
          </w:p>
        </w:tc>
        <w:tc>
          <w:tcPr>
            <w:tcW w:type="dxa" w:w="23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CSW anomaly detection and policy violation alerts provide real-time incident detection. Forensic telemetry supports full incident reconstruction.</w:t>
            </w:r>
          </w:p>
        </w:tc>
        <w:tc>
          <w:tcPr>
            <w:tcW w:type="dxa" w:w="18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107C4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Full Coverage</w:t>
            </w:r>
          </w:p>
        </w:tc>
      </w:tr>
      <w:tr>
        <w:tc>
          <w:tcPr>
            <w:tcW w:type="dxa" w:w="13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Administrative</w:t>
            </w:r>
          </w:p>
        </w:tc>
        <w:tc>
          <w:tcPr>
            <w:tcW w:type="dxa" w:w="12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§164.308(a)(7)</w:t>
            </w:r>
          </w:p>
        </w:tc>
        <w:tc>
          <w:tcPr>
            <w:tcW w:type="dxa" w:w="17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Contingency Plan</w:t>
            </w:r>
          </w:p>
        </w:tc>
        <w:tc>
          <w:tcPr>
            <w:tcW w:type="dxa" w:w="21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Establish policies for responding to emergencies that damage systems containing ePHI.</w:t>
            </w:r>
          </w:p>
        </w:tc>
        <w:tc>
          <w:tcPr>
            <w:tcW w:type="dxa" w:w="23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CSW policy workspaces exportable for DR purposes. Backup policy sets maintained for recovery scenarios.</w:t>
            </w:r>
          </w:p>
        </w:tc>
        <w:tc>
          <w:tcPr>
            <w:tcW w:type="dxa" w:w="18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107C4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Full Coverage</w:t>
            </w:r>
          </w:p>
        </w:tc>
      </w:tr>
      <w:tr>
        <w:tc>
          <w:tcPr>
            <w:tcW w:type="dxa" w:w="13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Administrative</w:t>
            </w:r>
          </w:p>
        </w:tc>
        <w:tc>
          <w:tcPr>
            <w:tcW w:type="dxa" w:w="12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§164.308(a)(8)</w:t>
            </w:r>
          </w:p>
        </w:tc>
        <w:tc>
          <w:tcPr>
            <w:tcW w:type="dxa" w:w="17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Evaluation</w:t>
            </w:r>
          </w:p>
        </w:tc>
        <w:tc>
          <w:tcPr>
            <w:tcW w:type="dxa" w:w="21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Perform periodic technical and nontechnical evaluation of implemented security measures.</w:t>
            </w:r>
          </w:p>
        </w:tc>
        <w:tc>
          <w:tcPr>
            <w:tcW w:type="dxa" w:w="23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CSW compliance dashboard provides ongoing posture evaluation. Quarterly ADM re-runs detect policy drift.</w:t>
            </w:r>
          </w:p>
        </w:tc>
        <w:tc>
          <w:tcPr>
            <w:tcW w:type="dxa" w:w="18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107C4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Full Coverage</w:t>
            </w:r>
          </w:p>
        </w:tc>
      </w:tr>
      <w:tr>
        <w:tc>
          <w:tcPr>
            <w:tcW w:type="dxa" w:w="13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Organizational</w:t>
            </w:r>
          </w:p>
        </w:tc>
        <w:tc>
          <w:tcPr>
            <w:tcW w:type="dxa" w:w="12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§164.314(a)</w:t>
            </w:r>
          </w:p>
        </w:tc>
        <w:tc>
          <w:tcPr>
            <w:tcW w:type="dxa" w:w="17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Business Associate Contracts</w:t>
            </w:r>
          </w:p>
        </w:tc>
        <w:tc>
          <w:tcPr>
            <w:tcW w:type="dxa" w:w="21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Document satisfactory assurances from business associates that they will appropriately safeguard ePHI.</w:t>
            </w:r>
          </w:p>
        </w:tc>
        <w:tc>
          <w:tcPr>
            <w:tcW w:type="dxa" w:w="23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CSW defines External-Partners scope with restricted policy. All BA network access flows through audited, policy-enforced paths.</w:t>
            </w:r>
          </w:p>
        </w:tc>
        <w:tc>
          <w:tcPr>
            <w:tcW w:type="dxa" w:w="18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0070C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Evidence Required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0070C0" w:sz="8" w:space="4"/>
        </w:pBdr>
        <w:spacing w:after="200" w:before="400"/>
      </w:pPr>
      <w:r>
        <w:rPr>
          <w:rFonts w:ascii="Arial" w:cs="Arial" w:eastAsia="Arial" w:hAnsi="Arial"/>
          <w:b/>
          <w:bCs/>
          <w:color w:val="003366"/>
          <w:sz w:val="36"/>
          <w:szCs w:val="36"/>
        </w:rPr>
        <w:t xml:space="preserve">Recommended Deployment Architecture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0070C0"/>
          <w:sz w:val="28"/>
          <w:szCs w:val="28"/>
        </w:rPr>
        <w:t xml:space="preserve">PHI Zone Segmentation Model</w:t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CSW organizes workloads into policy scopes that map directly to HIPAA data classification requirements. The following architecture is recommended for hybrid healthcare environments:</w:t>
      </w:r>
    </w:p>
    <w:p>
      <w:pPr>
        <w:spacing w:after="0" w:before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00336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PHI Zone (Strict)</w:t>
            </w:r>
          </w:p>
        </w:tc>
        <w:tc>
          <w:tcPr>
            <w:tcW w:type="dxa" w:w="234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00336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Clinical Support (Moderate)</w:t>
            </w:r>
          </w:p>
        </w:tc>
        <w:tc>
          <w:tcPr>
            <w:tcW w:type="dxa" w:w="234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00336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Corporate IT (Standard)</w:t>
            </w:r>
          </w:p>
        </w:tc>
        <w:tc>
          <w:tcPr>
            <w:tcW w:type="dxa" w:w="234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00336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External Partners (BAA)</w:t>
            </w:r>
          </w:p>
        </w:tc>
      </w:tr>
      <w:tr>
        <w:tc>
          <w:tcPr>
            <w:tcW w:type="dxa" w:w="234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EHR / EMR Servers</w:t>
            </w:r>
          </w:p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Billing Systems</w:t>
            </w:r>
          </w:p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Medical Imaging (PACS)</w:t>
            </w:r>
          </w:p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HL7 Integration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Clinical Databases</w:t>
            </w:r>
          </w:p>
        </w:tc>
        <w:tc>
          <w:tcPr>
            <w:tcW w:type="dxa" w:w="234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Clinical Workstations</w:t>
            </w:r>
          </w:p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Lab Systems</w:t>
            </w:r>
          </w:p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Pharmacy Apps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Diagnostic Tools</w:t>
            </w:r>
          </w:p>
        </w:tc>
        <w:tc>
          <w:tcPr>
            <w:tcW w:type="dxa" w:w="234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Active Directory</w:t>
            </w:r>
          </w:p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Email / Collaboration</w:t>
            </w:r>
          </w:p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File Servers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IT Management</w:t>
            </w:r>
          </w:p>
        </w:tc>
        <w:tc>
          <w:tcPr>
            <w:tcW w:type="dxa" w:w="234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Clearinghouses</w:t>
            </w:r>
          </w:p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Third-Party Apps</w:t>
            </w:r>
          </w:p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Health Plans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Vendor Portals</w:t>
            </w:r>
          </w:p>
        </w:tc>
      </w:tr>
      <w:tr>
        <w:tc>
          <w:tcPr>
            <w:tcW w:type="dxa" w:w="234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Default DENY all inbound</w:t>
            </w:r>
          </w:p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Encrypted paths only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Full forensic logging</w:t>
            </w:r>
          </w:p>
        </w:tc>
        <w:tc>
          <w:tcPr>
            <w:tcW w:type="dxa" w:w="234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Restricted to defined PHI-Zone flows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ADM-validated policies</w:t>
            </w:r>
          </w:p>
        </w:tc>
        <w:tc>
          <w:tcPr>
            <w:tcW w:type="dxa" w:w="234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No direct PHI access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Jump-host controlled admin paths</w:t>
            </w:r>
          </w:p>
        </w:tc>
        <w:tc>
          <w:tcPr>
            <w:tcW w:type="dxa" w:w="234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BAA-documented access only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Full flow audit per partner</w:t>
            </w:r>
          </w:p>
        </w:tc>
      </w:tr>
    </w:tbl>
    <w:p>
      <w:pPr>
        <w:spacing w:after="0" w:before="100"/>
      </w:pPr>
      <w:r>
        <w:t xml:space="preserve"/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0070C0"/>
          <w:sz w:val="28"/>
          <w:szCs w:val="28"/>
        </w:rPr>
        <w:t xml:space="preserve">Hybrid Environment Coverage</w:t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CSW provides unified policy and visibility across on-premises and cloud workloads:</w:t>
      </w:r>
    </w:p>
    <w:p>
      <w:pPr>
        <w:spacing w:after="0" w:before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780"/>
        <w:gridCol w:w="3780"/>
      </w:tblGrid>
      <w:tr>
        <w:tc>
          <w:tcPr>
            <w:tcW w:type="dxa" w:w="18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00336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Environment</w:t>
            </w:r>
          </w:p>
        </w:tc>
        <w:tc>
          <w:tcPr>
            <w:tcW w:type="dxa" w:w="378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00336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CSW Deployment Method</w:t>
            </w:r>
          </w:p>
        </w:tc>
        <w:tc>
          <w:tcPr>
            <w:tcW w:type="dxa" w:w="378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00336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Capabilities</w:t>
            </w:r>
          </w:p>
        </w:tc>
      </w:tr>
      <w:tr>
        <w:tc>
          <w:tcPr>
            <w:tcW w:type="dxa" w:w="18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On-Premises</w:t>
            </w:r>
          </w:p>
        </w:tc>
        <w:tc>
          <w:tcPr>
            <w:tcW w:type="dxa" w:w="378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Software agent (Linux/Windows sensor)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Direct CSW cluster registration</w:t>
            </w:r>
          </w:p>
        </w:tc>
        <w:tc>
          <w:tcPr>
            <w:tcW w:type="dxa" w:w="378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Full telemetry, policy enforcement, vulnerability scan, process context</w:t>
            </w:r>
          </w:p>
        </w:tc>
      </w:tr>
      <w:tr>
        <w:tc>
          <w:tcPr>
            <w:tcW w:type="dxa" w:w="18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AWS</w:t>
            </w:r>
          </w:p>
        </w:tc>
        <w:tc>
          <w:tcPr>
            <w:tcW w:type="dxa" w:w="378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Software agent on EC2</w:t>
            </w:r>
          </w:p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Cloud connector (VPC Flow Logs)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Tag-based scope inheritance</w:t>
            </w:r>
          </w:p>
        </w:tc>
        <w:tc>
          <w:tcPr>
            <w:tcW w:type="dxa" w:w="378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Flow visibility, security group mapping, instance inventory, policy enforcement</w:t>
            </w:r>
          </w:p>
        </w:tc>
      </w:tr>
      <w:tr>
        <w:tc>
          <w:tcPr>
            <w:tcW w:type="dxa" w:w="18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Azure</w:t>
            </w:r>
          </w:p>
        </w:tc>
        <w:tc>
          <w:tcPr>
            <w:tcW w:type="dxa" w:w="378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Software agent on VMs</w:t>
            </w:r>
          </w:p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Cloud connector (NSG Flow Logs)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Azure tag synchronization</w:t>
            </w:r>
          </w:p>
        </w:tc>
        <w:tc>
          <w:tcPr>
            <w:tcW w:type="dxa" w:w="378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Flow visibility, NSG mapping, VM inventory, policy enforcement</w:t>
            </w:r>
          </w:p>
        </w:tc>
      </w:tr>
      <w:tr>
        <w:tc>
          <w:tcPr>
            <w:tcW w:type="dxa" w:w="18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GCP</w:t>
            </w:r>
          </w:p>
        </w:tc>
        <w:tc>
          <w:tcPr>
            <w:tcW w:type="dxa" w:w="378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Software agent on GCE</w:t>
            </w:r>
          </w:p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Cloud connector (VPC Flow Logs)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Label-based scope inheritance</w:t>
            </w:r>
          </w:p>
        </w:tc>
        <w:tc>
          <w:tcPr>
            <w:tcW w:type="dxa" w:w="378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Flow visibility, firewall rule mapping, instance inventory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0070C0" w:sz="8" w:space="4"/>
        </w:pBdr>
        <w:spacing w:after="200" w:before="400"/>
      </w:pPr>
      <w:r>
        <w:rPr>
          <w:rFonts w:ascii="Arial" w:cs="Arial" w:eastAsia="Arial" w:hAnsi="Arial"/>
          <w:b/>
          <w:bCs/>
          <w:color w:val="003366"/>
          <w:sz w:val="36"/>
          <w:szCs w:val="36"/>
        </w:rPr>
        <w:t xml:space="preserve">Evidence Collection &amp; Audit Readiness</w:t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CSW generates and retains the evidence required to demonstrate HIPAA compliance to auditors. The following evidence artifacts are available from CSW:</w:t>
      </w:r>
    </w:p>
    <w:p>
      <w:pPr>
        <w:spacing w:after="0" w:before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500"/>
        <w:gridCol w:w="2000"/>
        <w:gridCol w:w="2360"/>
      </w:tblGrid>
      <w:tr>
        <w:tc>
          <w:tcPr>
            <w:tcW w:type="dxa" w:w="25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00336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Evidence Artifact</w:t>
            </w:r>
          </w:p>
        </w:tc>
        <w:tc>
          <w:tcPr>
            <w:tcW w:type="dxa" w:w="25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00336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CSW Source</w:t>
            </w:r>
          </w:p>
        </w:tc>
        <w:tc>
          <w:tcPr>
            <w:tcW w:type="dxa" w:w="20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00336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HIPAA Control</w:t>
            </w:r>
          </w:p>
        </w:tc>
        <w:tc>
          <w:tcPr>
            <w:tcW w:type="dxa" w:w="23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00336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Recommended Frequency</w:t>
            </w:r>
          </w:p>
        </w:tc>
      </w:tr>
      <w:tr>
        <w:tc>
          <w:tcPr>
            <w:tcW w:type="dxa" w:w="25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Policy Enforcement Log</w:t>
            </w:r>
          </w:p>
        </w:tc>
        <w:tc>
          <w:tcPr>
            <w:tcW w:type="dxa" w:w="25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000000"/>
                <w:sz w:val="20"/>
                <w:szCs w:val="20"/>
              </w:rPr>
              <w:t xml:space="preserve">Defend &gt; Policy Analysis</w:t>
            </w:r>
          </w:p>
        </w:tc>
        <w:tc>
          <w:tcPr>
            <w:tcW w:type="dxa" w:w="20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§164.312(a)</w:t>
            </w:r>
          </w:p>
        </w:tc>
        <w:tc>
          <w:tcPr>
            <w:tcW w:type="dxa" w:w="23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Continuous / Monthly export</w:t>
            </w:r>
          </w:p>
        </w:tc>
      </w:tr>
      <w:tr>
        <w:tc>
          <w:tcPr>
            <w:tcW w:type="dxa" w:w="25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Vulnerability Scan Report</w:t>
            </w:r>
          </w:p>
        </w:tc>
        <w:tc>
          <w:tcPr>
            <w:tcW w:type="dxa" w:w="25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000000"/>
                <w:sz w:val="20"/>
                <w:szCs w:val="20"/>
              </w:rPr>
              <w:t xml:space="preserve">Investigate &gt; Vulnerability</w:t>
            </w:r>
          </w:p>
        </w:tc>
        <w:tc>
          <w:tcPr>
            <w:tcW w:type="dxa" w:w="20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§164.308(a)(1)</w:t>
            </w:r>
          </w:p>
        </w:tc>
        <w:tc>
          <w:tcPr>
            <w:tcW w:type="dxa" w:w="23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Weekly</w:t>
            </w:r>
          </w:p>
        </w:tc>
      </w:tr>
      <w:tr>
        <w:tc>
          <w:tcPr>
            <w:tcW w:type="dxa" w:w="25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Network Flow Audit Log (PHI-Zone)</w:t>
            </w:r>
          </w:p>
        </w:tc>
        <w:tc>
          <w:tcPr>
            <w:tcW w:type="dxa" w:w="25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000000"/>
                <w:sz w:val="20"/>
                <w:szCs w:val="20"/>
              </w:rPr>
              <w:t xml:space="preserve">Investigate &gt; Flow Search</w:t>
            </w:r>
          </w:p>
        </w:tc>
        <w:tc>
          <w:tcPr>
            <w:tcW w:type="dxa" w:w="20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§164.312(b)</w:t>
            </w:r>
          </w:p>
        </w:tc>
        <w:tc>
          <w:tcPr>
            <w:tcW w:type="dxa" w:w="23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Continuous / Quarterly export</w:t>
            </w:r>
          </w:p>
        </w:tc>
      </w:tr>
      <w:tr>
        <w:tc>
          <w:tcPr>
            <w:tcW w:type="dxa" w:w="25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Policy Violation Report</w:t>
            </w:r>
          </w:p>
        </w:tc>
        <w:tc>
          <w:tcPr>
            <w:tcW w:type="dxa" w:w="25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000000"/>
                <w:sz w:val="20"/>
                <w:szCs w:val="20"/>
              </w:rPr>
              <w:t xml:space="preserve">Alerts &gt; Triggered Events</w:t>
            </w:r>
          </w:p>
        </w:tc>
        <w:tc>
          <w:tcPr>
            <w:tcW w:type="dxa" w:w="20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§164.308(a)(6)</w:t>
            </w:r>
          </w:p>
        </w:tc>
        <w:tc>
          <w:tcPr>
            <w:tcW w:type="dxa" w:w="23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Real-time / Monthly summary</w:t>
            </w:r>
          </w:p>
        </w:tc>
      </w:tr>
      <w:tr>
        <w:tc>
          <w:tcPr>
            <w:tcW w:type="dxa" w:w="25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Scope Membership Snapshot</w:t>
            </w:r>
          </w:p>
        </w:tc>
        <w:tc>
          <w:tcPr>
            <w:tcW w:type="dxa" w:w="25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000000"/>
                <w:sz w:val="20"/>
                <w:szCs w:val="20"/>
              </w:rPr>
              <w:t xml:space="preserve">Inventory &gt; Export</w:t>
            </w:r>
          </w:p>
        </w:tc>
        <w:tc>
          <w:tcPr>
            <w:tcW w:type="dxa" w:w="20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§164.308(a)(3)</w:t>
            </w:r>
          </w:p>
        </w:tc>
        <w:tc>
          <w:tcPr>
            <w:tcW w:type="dxa" w:w="23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Monthly</w:t>
            </w:r>
          </w:p>
        </w:tc>
      </w:tr>
      <w:tr>
        <w:tc>
          <w:tcPr>
            <w:tcW w:type="dxa" w:w="25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Encryption Compliance Report</w:t>
            </w:r>
          </w:p>
        </w:tc>
        <w:tc>
          <w:tcPr>
            <w:tcW w:type="dxa" w:w="25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000000"/>
                <w:sz w:val="20"/>
                <w:szCs w:val="20"/>
              </w:rPr>
              <w:t xml:space="preserve">Flow analysis (protocol filter)</w:t>
            </w:r>
          </w:p>
        </w:tc>
        <w:tc>
          <w:tcPr>
            <w:tcW w:type="dxa" w:w="20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§164.312(e)</w:t>
            </w:r>
          </w:p>
        </w:tc>
        <w:tc>
          <w:tcPr>
            <w:tcW w:type="dxa" w:w="23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Quarterly</w:t>
            </w:r>
          </w:p>
        </w:tc>
      </w:tr>
      <w:tr>
        <w:tc>
          <w:tcPr>
            <w:tcW w:type="dxa" w:w="25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Application Dependency Map</w:t>
            </w:r>
          </w:p>
        </w:tc>
        <w:tc>
          <w:tcPr>
            <w:tcW w:type="dxa" w:w="25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000000"/>
                <w:sz w:val="20"/>
                <w:szCs w:val="20"/>
              </w:rPr>
              <w:t xml:space="preserve">Investigate &gt; ADM</w:t>
            </w:r>
          </w:p>
        </w:tc>
        <w:tc>
          <w:tcPr>
            <w:tcW w:type="dxa" w:w="20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§164.308(a)(1)</w:t>
            </w:r>
          </w:p>
        </w:tc>
        <w:tc>
          <w:tcPr>
            <w:tcW w:type="dxa" w:w="23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Quarterly re-run</w:t>
            </w:r>
          </w:p>
        </w:tc>
      </w:tr>
      <w:tr>
        <w:tc>
          <w:tcPr>
            <w:tcW w:type="dxa" w:w="25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Forensic Incident Timeline</w:t>
            </w:r>
          </w:p>
        </w:tc>
        <w:tc>
          <w:tcPr>
            <w:tcW w:type="dxa" w:w="25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000000"/>
                <w:sz w:val="20"/>
                <w:szCs w:val="20"/>
              </w:rPr>
              <w:t xml:space="preserve">Investigate &gt; Flow/Process Search</w:t>
            </w:r>
          </w:p>
        </w:tc>
        <w:tc>
          <w:tcPr>
            <w:tcW w:type="dxa" w:w="20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§164.308(a)(6)</w:t>
            </w:r>
          </w:p>
        </w:tc>
        <w:tc>
          <w:tcPr>
            <w:tcW w:type="dxa" w:w="23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On-demand (post-incident)</w:t>
            </w:r>
          </w:p>
        </w:tc>
      </w:tr>
    </w:tbl>
    <w:p>
      <w:pPr>
        <w:spacing w:after="0" w:before="100"/>
      </w:pPr>
      <w:r>
        <w:t xml:space="preserve"/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0070C0"/>
          <w:sz w:val="28"/>
          <w:szCs w:val="28"/>
        </w:rPr>
        <w:t xml:space="preserve">Documentation Retention</w:t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HIPAA requires documentation to be retained for a minimum of 6 years from the date of creation or the date it was last in effect. CSW supports this through: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Configurable telemetry retention periods (recommend 6-year minimum for audit logs)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Policy workspace version history — tracks all policy changes with timestamps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Exportable evidence packages in PDF/CSV format for long-term archival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API-based integration with SIEM/SOAR platforms for centralized log management</w:t>
      </w:r>
    </w:p>
    <w:p>
      <w:r>
        <w:br w:type="page"/>
      </w:r>
    </w:p>
    <w:p>
      <w:pPr>
        <w:pStyle w:val="Heading1"/>
        <w:pBdr>
          <w:bottom w:val="single" w:color="0070C0" w:sz="8" w:space="4"/>
        </w:pBdr>
        <w:spacing w:after="200" w:before="400"/>
      </w:pPr>
      <w:r>
        <w:rPr>
          <w:rFonts w:ascii="Arial" w:cs="Arial" w:eastAsia="Arial" w:hAnsi="Arial"/>
          <w:b/>
          <w:bCs/>
          <w:color w:val="003366"/>
          <w:sz w:val="36"/>
          <w:szCs w:val="36"/>
        </w:rPr>
        <w:t xml:space="preserve">Recommended Next Steps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100"/>
        <w:gridCol w:w="4660"/>
        <w:gridCol w:w="2100"/>
      </w:tblGrid>
      <w:tr>
        <w:tc>
          <w:tcPr>
            <w:tcW w:type="dxa" w:w="5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00336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21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00336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Phase</w:t>
            </w:r>
          </w:p>
        </w:tc>
        <w:tc>
          <w:tcPr>
            <w:tcW w:type="dxa" w:w="46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00336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Action</w:t>
            </w:r>
          </w:p>
        </w:tc>
        <w:tc>
          <w:tcPr>
            <w:tcW w:type="dxa" w:w="21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00336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Timeline</w:t>
            </w:r>
          </w:p>
        </w:tc>
      </w:tr>
      <w:tr>
        <w:tc>
          <w:tcPr>
            <w:tcW w:type="dxa" w:w="5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00336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</w:t>
            </w:r>
          </w:p>
        </w:tc>
        <w:tc>
          <w:tcPr>
            <w:tcW w:type="dxa" w:w="21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Sensor Deployment</w:t>
            </w:r>
          </w:p>
        </w:tc>
        <w:tc>
          <w:tcPr>
            <w:tcW w:type="dxa" w:w="46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Install CSW software sensors on all on-prem PHI workloads. Connect cloud accounts via CSW cloud connectors.</w:t>
            </w:r>
          </w:p>
        </w:tc>
        <w:tc>
          <w:tcPr>
            <w:tcW w:type="dxa" w:w="21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Days 1-5</w:t>
            </w:r>
          </w:p>
        </w:tc>
      </w:tr>
      <w:tr>
        <w:tc>
          <w:tcPr>
            <w:tcW w:type="dxa" w:w="5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00336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2</w:t>
            </w:r>
          </w:p>
        </w:tc>
        <w:tc>
          <w:tcPr>
            <w:tcW w:type="dxa" w:w="21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Scope &amp; Inventory Design</w:t>
            </w:r>
          </w:p>
        </w:tc>
        <w:tc>
          <w:tcPr>
            <w:tcW w:type="dxa" w:w="46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Create PHI-Zone scope hierarchy. Apply HIPAA labels (env, compliance, data) across all workloads.</w:t>
            </w:r>
          </w:p>
        </w:tc>
        <w:tc>
          <w:tcPr>
            <w:tcW w:type="dxa" w:w="21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Days 6-10</w:t>
            </w:r>
          </w:p>
        </w:tc>
      </w:tr>
      <w:tr>
        <w:tc>
          <w:tcPr>
            <w:tcW w:type="dxa" w:w="5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00336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3</w:t>
            </w:r>
          </w:p>
        </w:tc>
        <w:tc>
          <w:tcPr>
            <w:tcW w:type="dxa" w:w="21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Application Dependency Mapping</w:t>
            </w:r>
          </w:p>
        </w:tc>
        <w:tc>
          <w:tcPr>
            <w:tcW w:type="dxa" w:w="46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Run 2-4 week ADM to discover all ePHI application flows. Identify and tag ePHI apps from ADM output.</w:t>
            </w:r>
          </w:p>
        </w:tc>
        <w:tc>
          <w:tcPr>
            <w:tcW w:type="dxa" w:w="21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Days 11-28</w:t>
            </w:r>
          </w:p>
        </w:tc>
      </w:tr>
      <w:tr>
        <w:tc>
          <w:tcPr>
            <w:tcW w:type="dxa" w:w="5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00336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4</w:t>
            </w:r>
          </w:p>
        </w:tc>
        <w:tc>
          <w:tcPr>
            <w:tcW w:type="dxa" w:w="21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Policy Development</w:t>
            </w:r>
          </w:p>
        </w:tc>
        <w:tc>
          <w:tcPr>
            <w:tcW w:type="dxa" w:w="46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Build allowlist policies from ADM baseline. Configure default-deny for PHI-Zone. Run in Simulation mode.</w:t>
            </w:r>
          </w:p>
        </w:tc>
        <w:tc>
          <w:tcPr>
            <w:tcW w:type="dxa" w:w="21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Days 29-42</w:t>
            </w:r>
          </w:p>
        </w:tc>
      </w:tr>
      <w:tr>
        <w:tc>
          <w:tcPr>
            <w:tcW w:type="dxa" w:w="5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00336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5</w:t>
            </w:r>
          </w:p>
        </w:tc>
        <w:tc>
          <w:tcPr>
            <w:tcW w:type="dxa" w:w="21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Enforcement Go-Live</w:t>
            </w:r>
          </w:p>
        </w:tc>
        <w:tc>
          <w:tcPr>
            <w:tcW w:type="dxa" w:w="46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Progress from Simulation to Enforcement. Validate no clinical workflow disruption. Enable full alerting.</w:t>
            </w:r>
          </w:p>
        </w:tc>
        <w:tc>
          <w:tcPr>
            <w:tcW w:type="dxa" w:w="21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Days 43-56</w:t>
            </w:r>
          </w:p>
        </w:tc>
      </w:tr>
      <w:tr>
        <w:tc>
          <w:tcPr>
            <w:tcW w:type="dxa" w:w="5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00336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6</w:t>
            </w:r>
          </w:p>
        </w:tc>
        <w:tc>
          <w:tcPr>
            <w:tcW w:type="dxa" w:w="21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Compliance Reporting</w:t>
            </w:r>
          </w:p>
        </w:tc>
        <w:tc>
          <w:tcPr>
            <w:tcW w:type="dxa" w:w="46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Generate first HIPAA evidence package. Schedule quarterly review cycle. Deliver compliance dashboard to CISO.</w:t>
            </w:r>
          </w:p>
        </w:tc>
        <w:tc>
          <w:tcPr>
            <w:tcW w:type="dxa" w:w="21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Day 60+</w:t>
            </w:r>
          </w:p>
        </w:tc>
      </w:tr>
    </w:tbl>
    <w:p>
      <w:pPr>
        <w:spacing w:after="0" w:before="200"/>
      </w:pPr>
      <w:r>
        <w:t xml:space="preserve"/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0070C0"/>
          <w:sz w:val="28"/>
          <w:szCs w:val="28"/>
        </w:rPr>
        <w:t xml:space="preserve">About Cisco Secure Workload</w:t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Cisco Secure Workload (CSW) is a workload protection platform that provides application micro-segmentation, real-time vulnerability assessment, and forensic telemetry across hybrid and multi-cloud environments. CSW is deployed by leading healthcare, financial services, and critical infrastructure organizations to satisfy regulatory compliance requirements and accelerate zero trust adoption.</w:t>
      </w:r>
    </w:p>
    <w:p>
      <w:pPr>
        <w:spacing w:after="0" w:before="10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color w:val="666666"/>
          <w:sz w:val="22"/>
          <w:szCs w:val="22"/>
        </w:rPr>
        <w:t xml:space="preserve">For more information or to schedule a technical deep-dive, contact your Cisco account team.</w:t>
      </w:r>
    </w:p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9D9" w:sz="4" w:space="2"/>
      </w:pBdr>
    </w:pPr>
    <w:r>
      <w:rPr>
        <w:rFonts w:ascii="Arial" w:cs="Arial" w:eastAsia="Arial" w:hAnsi="Arial"/>
        <w:color w:val="888888"/>
        <w:sz w:val="16"/>
        <w:szCs w:val="16"/>
      </w:rPr>
      <w:t xml:space="preserve">© 2025 Cisco Systems, Inc. All rights reserved.  |  Cisco Confidential  |  Page </w:t>
    </w:r>
    <w:pgNum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070C0" w:sz="6" w:space="2"/>
      </w:pBdr>
      <w:tabs>
        <w:tab w:val="right" w:pos="9026"/>
      </w:tabs>
    </w:pPr>
    <w:r>
      <w:rPr>
        <w:rFonts w:ascii="Arial" w:cs="Arial" w:eastAsia="Arial" w:hAnsi="Arial"/>
        <w:b/>
        <w:bCs/>
        <w:color w:val="003366"/>
        <w:sz w:val="16"/>
        <w:szCs w:val="16"/>
      </w:rPr>
      <w:t xml:space="preserve">CISCO SECURE WORKLOAD  |  HIPAA COMPLIANCE FRAMEWORK</w:t>
    </w:r>
    <w:r>
      <w:rPr>
        <w:rFonts w:ascii="Arial" w:cs="Arial" w:eastAsia="Arial" w:hAnsi="Arial"/>
        <w:color w:val="888888"/>
        <w:sz w:val="16"/>
        <w:szCs w:val="16"/>
      </w:rPr>
      <w:t xml:space="preserve">	[Customer Name] — Confidential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400"/>
      <w:outlineLvl w:val="0"/>
    </w:pPr>
    <w:rPr>
      <w:rFonts w:ascii="Arial" w:cs="Arial" w:eastAsia="Arial" w:hAnsi="Arial"/>
      <w:b/>
      <w:bCs/>
      <w:color w:val="003366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300"/>
      <w:outlineLvl w:val="1"/>
    </w:pPr>
    <w:rPr>
      <w:rFonts w:ascii="Arial" w:cs="Arial" w:eastAsia="Arial" w:hAnsi="Arial"/>
      <w:b/>
      <w:bCs/>
      <w:color w:val="0070C0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2026-04-29T23:01:56.033Z</dcterms:created>
  <dcterms:modified xsi:type="dcterms:W3CDTF">2026-04-29T23:01:56.034Z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