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NERC CIP — Compliance Report</w:t>
      </w:r>
    </w:p>
    <w:p>
      <w:pPr>
        <w:pStyle w:val="Subtitle"/>
        <w:rPr/>
      </w:pPr>
      <w:r>
        <w:rPr/>
        <w:t>Cisco Secure Workload | IT-Side Mapping for the Bulk Electric System</w:t>
      </w:r>
    </w:p>
    <w:p>
      <w:pPr>
        <w:pStyle w:val="Author"/>
        <w:rPr/>
      </w:pPr>
      <w:r>
        <w:rPr/>
        <w:t>Cisco Secure Workload — Compliance Mapping Series</w:t>
      </w:r>
    </w:p>
    <w:p>
      <w:pPr>
        <w:pStyle w:val="Date"/>
        <w:rPr/>
      </w:pPr>
      <w:r>
        <w:rPr/>
        <w:t>Version 1.0 (draft — pending SME review)</w:t>
      </w:r>
    </w:p>
    <w:sdt>
      <w:sdtPr>
        <w:docPartObj>
          <w:docPartGallery w:val="Table of Contents"/>
          <w:docPartUnique w:val="true"/>
        </w:docPartObj>
      </w:sdtPr>
      <w:sdtContent>
        <w:p>
          <w:pPr>
            <w:pStyle w:val="TOCHeading"/>
            <w:rPr/>
          </w:pPr>
          <w:r>
            <w:rPr/>
            <w:t>Table of Contents</w:t>
          </w:r>
        </w:p>
        <w:p>
          <w:pPr>
            <w:pStyle w:val="Normal"/>
            <w:rPr/>
          </w:pPr>
          <w:r>
            <w:fldChar w:fldCharType="begin"/>
          </w:r>
          <w:r>
            <w:rPr/>
            <w:instrText xml:space="preserve"> TOC \z \o "1-2" \u \h</w:instrText>
          </w:r>
          <w:r>
            <w:rPr/>
            <w:fldChar w:fldCharType="separate"/>
          </w:r>
          <w:r>
            <w:rPr/>
          </w:r>
          <w:r>
            <w:rPr/>
            <w:fldChar w:fldCharType="end"/>
          </w:r>
        </w:p>
      </w:sdtContent>
    </w:sdt>
    <w:p>
      <w:pPr>
        <w:pStyle w:val="Heading1"/>
        <w:rPr/>
      </w:pPr>
      <w:bookmarkStart w:id="0" w:name="Xfec2f7466709b352387b99021bb7799509509d1"/>
      <w:r>
        <w:rPr/>
        <w:t>Cisco Secure Workload — NERC CIP Compliance Mapping</w:t>
      </w:r>
    </w:p>
    <w:p>
      <w:pPr>
        <w:pStyle w:val="Heading2"/>
        <w:rPr/>
      </w:pPr>
      <w:bookmarkStart w:id="1" w:name="how-to-read-this-report"/>
      <w:r>
        <w:rPr/>
        <w:t>How to read this report</w:t>
      </w:r>
    </w:p>
    <w:p>
      <w:pPr>
        <w:pStyle w:val="FirstParagraph"/>
        <w:rPr/>
      </w:pPr>
      <w:r>
        <w:rPr/>
        <w:t xml:space="preserve">This report describes how Cisco Secure Workload (CSW) supports a Registered Entity’s compliance posture against the NERC Critical Infrastructure Protection (CIP) Reliability Standards on the </w:t>
      </w:r>
      <w:r>
        <w:rPr>
          <w:b/>
          <w:bCs/>
        </w:rPr>
        <w:t>IT side</w:t>
      </w:r>
      <w:r>
        <w:rPr/>
        <w:t xml:space="preserve"> of the IT/OT boundary.</w:t>
      </w:r>
    </w:p>
    <w:p>
      <w:pPr>
        <w:pStyle w:val="BodyText"/>
        <w:rPr/>
      </w:pPr>
      <w:r>
        <w:rPr>
          <w:b/>
          <w:bCs/>
        </w:rPr>
        <w:t>Scope statement up front.</w:t>
      </w:r>
      <w:r>
        <w:rPr/>
        <w:t xml:space="preserve"> CSW is a workload-protection and segmentation platform for IT estate — servers, virtual machines, containers, and cloud workloads. CSW does </w:t>
      </w:r>
      <w:r>
        <w:rPr>
          <w:b/>
          <w:bCs/>
        </w:rPr>
        <w:t>not</w:t>
      </w:r>
      <w:r>
        <w:rPr/>
        <w:t xml:space="preserve"> enforce policy on PLCs, RTUs, relays, IEDs, HMIs, or any other Level 0–2 OT device. CSW’s NERC CIP contribution is at the </w:t>
      </w:r>
      <w:r>
        <w:rPr>
          <w:b/>
          <w:bCs/>
        </w:rPr>
        <w:t>IT-side of the ESP boundary and within the Electronic Access Control or Monitoring Systems (EACMS) and Physical Access Control Systems (PACS) supporting infrastructure</w:t>
      </w:r>
      <w:r>
        <w:rPr/>
        <w:t xml:space="preserve"> — jump hosts, identity/PKI servers, vendor-access hosts, patch repositories, engineering workstations, historian/MES databases, and the corporate IT systems that touch BES Cyber System Information (BCSI). For controls inside the ESP at the OT device layer, your ICS/SCADA security stack and your ESP-boundary firewall arrangement remain the controlling artefacts.</w:t>
      </w:r>
    </w:p>
    <w:p>
      <w:pPr>
        <w:pStyle w:val="BodyText"/>
        <w:rPr/>
      </w:pPr>
      <w:r>
        <w:rPr>
          <w:b/>
          <w:bCs/>
        </w:rPr>
        <w:t>Companion document.</w:t>
      </w:r>
      <w:r>
        <w:rPr/>
        <w:t xml:space="preserve"> The accompanying </w:t>
      </w:r>
      <w:r>
        <w:rPr>
          <w:i/>
          <w:iCs/>
        </w:rPr>
        <w:t>NERC CIP Technical Runbook</w:t>
      </w:r>
      <w:r>
        <w:rPr/>
        <w:t xml:space="preserve"> walks through deployment, scoping, ESP-boundary design, IRA enforcement, CIP-007/010 evidence collection, and CIP-013 supply- chain visibility on the IT side. Read this report for the audit- narrative view; read the runbook for the deployment view.</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
    </w:p>
    <w:p>
      <w:pPr>
        <w:pStyle w:val="Heading2"/>
        <w:rPr/>
      </w:pPr>
      <w:bookmarkStart w:id="2" w:name="executive-summary"/>
      <w:r>
        <w:rPr/>
        <w:t>1. Executive Summary</w:t>
      </w:r>
    </w:p>
    <w:p>
      <w:pPr>
        <w:pStyle w:val="FirstParagraph"/>
        <w:rPr/>
      </w:pPr>
      <w:r>
        <w:rPr/>
        <w:t>NERC CIP cybersecurity requirements apply to Registered Entities operating the Bulk Electric System in North America. The standards have moved decisively since 2020 toward continuous evidence, automated configuration baselining, and supply-chain visibility — all areas where workload-level segmentation and telemetry produce materially better RSAW responses than network-firewall logs alone.</w:t>
      </w:r>
    </w:p>
    <w:p>
      <w:pPr>
        <w:pStyle w:val="BodyText"/>
        <w:rPr/>
      </w:pPr>
      <w:r>
        <w:rPr>
          <w:b/>
          <w:bCs/>
        </w:rPr>
        <w:t>What CSW changes for a NERC CIP programme:</w:t>
      </w:r>
    </w:p>
    <w:p>
      <w:pPr>
        <w:pStyle w:val="Compact"/>
        <w:numPr>
          <w:ilvl w:val="0"/>
          <w:numId w:val="1"/>
        </w:numPr>
        <w:rPr/>
      </w:pPr>
      <w:r>
        <w:rPr>
          <w:b/>
          <w:bCs/>
        </w:rPr>
        <w:t>CIP-005 R1 IT-side hardening.</w:t>
      </w:r>
      <w:r>
        <w:rPr/>
        <w:t xml:space="preserve"> The ESP boundary firewall remains your EAP, but CSW enforces deny-by-default </w:t>
      </w:r>
      <w:r>
        <w:rPr>
          <w:i/>
          <w:iCs/>
        </w:rPr>
        <w:t>up to</w:t>
      </w:r>
      <w:r>
        <w:rPr/>
        <w:t xml:space="preserve"> that boundary from the corporate IT side. The undocumented-pivot risk that has driven several past enforcement actions is structurally removed.</w:t>
      </w:r>
    </w:p>
    <w:p>
      <w:pPr>
        <w:pStyle w:val="Compact"/>
        <w:numPr>
          <w:ilvl w:val="0"/>
          <w:numId w:val="1"/>
        </w:numPr>
        <w:rPr/>
      </w:pPr>
      <w:r>
        <w:rPr>
          <w:b/>
          <w:bCs/>
        </w:rPr>
        <w:t>CIP-005 R2 Interactive Remote Access evidence.</w:t>
      </w:r>
      <w:r>
        <w:rPr/>
        <w:t xml:space="preserve"> Per-session flow attribution from the Intermediate System out to the BES Cyber Asset, retained for the audit window, with no forensic gaps.</w:t>
      </w:r>
    </w:p>
    <w:p>
      <w:pPr>
        <w:pStyle w:val="Compact"/>
        <w:numPr>
          <w:ilvl w:val="0"/>
          <w:numId w:val="1"/>
        </w:numPr>
        <w:rPr/>
      </w:pPr>
      <w:r>
        <w:rPr>
          <w:b/>
          <w:bCs/>
        </w:rPr>
        <w:t>CIP-007 R1 Ports and Services evidence.</w:t>
      </w:r>
      <w:r>
        <w:rPr/>
        <w:t xml:space="preserve"> Per-workload listening- port inventory with last-observed-flow timestamp, cross-referenced to the documented baseline, dated quarterly.</w:t>
      </w:r>
    </w:p>
    <w:p>
      <w:pPr>
        <w:pStyle w:val="Compact"/>
        <w:numPr>
          <w:ilvl w:val="0"/>
          <w:numId w:val="1"/>
        </w:numPr>
        <w:rPr/>
      </w:pPr>
      <w:r>
        <w:rPr>
          <w:b/>
          <w:bCs/>
        </w:rPr>
        <w:t>CIP-010 R1.5 Configuration Change Management.</w:t>
      </w:r>
      <w:r>
        <w:rPr/>
        <w:t xml:space="preserve"> Daily diff of installed software and listening ports, with disposition column tying back to your change-management ticketing system. Orphan changes (CSW-detected but ticket-absent) become unauthorised- change candidates.</w:t>
      </w:r>
    </w:p>
    <w:p>
      <w:pPr>
        <w:pStyle w:val="Compact"/>
        <w:numPr>
          <w:ilvl w:val="0"/>
          <w:numId w:val="1"/>
        </w:numPr>
        <w:rPr/>
      </w:pPr>
      <w:r>
        <w:rPr>
          <w:b/>
          <w:bCs/>
        </w:rPr>
        <w:t>CIP-010 R3 Vulnerability Assessments.</w:t>
      </w:r>
      <w:r>
        <w:rPr/>
        <w:t xml:space="preserve"> Continuous CVE inventory per workload with CVSS, exploit-availability, and EPSS context; cadence-based exports satisfy R3.1 active VA evidence for High- impact assets.</w:t>
      </w:r>
    </w:p>
    <w:p>
      <w:pPr>
        <w:pStyle w:val="Compact"/>
        <w:numPr>
          <w:ilvl w:val="0"/>
          <w:numId w:val="1"/>
        </w:numPr>
        <w:rPr/>
      </w:pPr>
      <w:r>
        <w:rPr>
          <w:b/>
          <w:bCs/>
        </w:rPr>
        <w:t>CIP-013 R1 Supply Chain Risk Management.</w:t>
      </w:r>
      <w:r>
        <w:rPr/>
        <w:t xml:space="preserve"> Vendor-egress observation against your vendor register, with allowlist enforcement on EACMS and immediate alerting on new external destinations.</w:t>
      </w:r>
    </w:p>
    <w:p>
      <w:pPr>
        <w:pStyle w:val="FirstParagraph"/>
        <w:rPr/>
      </w:pPr>
      <w:r>
        <w:rPr>
          <w:b/>
          <w:bCs/>
        </w:rPr>
        <w:t>What CSW does not change.</w:t>
      </w:r>
      <w:r>
        <w:rPr/>
        <w:t xml:space="preserve"> CSW does not perform CIP-002 categorisation, does not act as an EAP, does not enforce on OT devices, and does not replace the CIP Senior Manager’s accountability under CIP-003. It is the IT-side evidence engine that those governance artefacts depend on.</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compliance-posture-summary"/>
      <w:r>
        <w:rPr/>
        <w:t>2. Compliance Posture Summary</w:t>
      </w:r>
    </w:p>
    <w:p>
      <w:pPr>
        <w:pStyle w:val="FirstParagraph"/>
        <w:rPr/>
      </w:pPr>
      <w:r>
        <w:rPr/>
        <w:t>The following table summarises CSW’s contribution to each in-scope NERC CIP standard. Coverage is rated as:</w:t>
      </w:r>
    </w:p>
    <w:p>
      <w:pPr>
        <w:pStyle w:val="Compact"/>
        <w:numPr>
          <w:ilvl w:val="0"/>
          <w:numId w:val="1"/>
        </w:numPr>
        <w:rPr/>
      </w:pPr>
      <w:r>
        <w:rPr>
          <w:b/>
          <w:bCs/>
        </w:rPr>
        <w:t>Direct</w:t>
      </w:r>
      <w:r>
        <w:rPr/>
        <w:t xml:space="preserve"> — CSW is the primary technical control or evidence source for the requirement on the IT side.</w:t>
      </w:r>
    </w:p>
    <w:p>
      <w:pPr>
        <w:pStyle w:val="Compact"/>
        <w:numPr>
          <w:ilvl w:val="0"/>
          <w:numId w:val="1"/>
        </w:numPr>
        <w:rPr/>
      </w:pPr>
      <w:r>
        <w:rPr>
          <w:b/>
          <w:bCs/>
        </w:rPr>
        <w:t>Supporting</w:t>
      </w:r>
      <w:r>
        <w:rPr/>
        <w:t xml:space="preserve"> — CSW supplements another control with evidence or enforcement that strengthens the audit response.</w:t>
      </w:r>
    </w:p>
    <w:p>
      <w:pPr>
        <w:pStyle w:val="Compact"/>
        <w:numPr>
          <w:ilvl w:val="0"/>
          <w:numId w:val="1"/>
        </w:numPr>
        <w:rPr/>
      </w:pPr>
      <w:r>
        <w:rPr>
          <w:b/>
          <w:bCs/>
        </w:rPr>
        <w:t>Out of scope</w:t>
      </w:r>
      <w:r>
        <w:rPr/>
        <w:t xml:space="preserve"> — CSW does not address the requirement; relies on other parts of the cyber programme (HR, physical, governance, OT controls).</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Pr>
      <w:tblGrid>
        <w:gridCol w:w="2339"/>
        <w:gridCol w:w="2340"/>
        <w:gridCol w:w="2340"/>
        <w:gridCol w:w="2341"/>
      </w:tblGrid>
      <w:tr>
        <w:trPr>
          <w:tblHeader w:val="true"/>
        </w:trPr>
        <w:tc>
          <w:tcPr>
            <w:tcW w:w="2339"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Standard</w:t>
            </w:r>
          </w:p>
        </w:tc>
        <w:tc>
          <w:tcPr>
            <w:tcW w:w="234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Topic</w:t>
            </w:r>
          </w:p>
        </w:tc>
        <w:tc>
          <w:tcPr>
            <w:tcW w:w="234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Coverage</w:t>
            </w:r>
          </w:p>
        </w:tc>
        <w:tc>
          <w:tcPr>
            <w:tcW w:w="2341"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contribution</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BES Cyber System Categorisation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Supporting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Inventory + scope labelling for CSW-managed workloads in the EACMS / PACS-supporting / BCSI-host tier; cross-reference to your CIP-002 register</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Security Management Controls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Supporting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evidence pack to the CIP Senior Manager covering CIP-005/007/010/013 IT-side outputs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CIP-004</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Personnel &amp; Training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Out of scope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HR/training process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CIP-005 R1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Electronic Security Perimeter</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Direct (IT-side)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Per-facility IT-side enclave segmentation; deny-by-default from corporate IT to EAP-IP set; documented exception list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CIP-005 R2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Interactive Remote Access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Direct (IT-side)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Intermediate-system enforcement; per-session flow telemetry; weekly IRA-pattern report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CIP-006</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Security</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Out of scope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 PACS process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CIP-007 R1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Ports and Services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Direct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Per-workload listening-port inventory with last-flow timestamp; quarterly evidence pack</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CIP-007 R2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Patch Management</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Supporting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CVE inventory feeds the patch programme; CSW does not deploy patches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CIP-007 R3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Malicious Code Prevention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Direct (IT-side)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Behavioural rules + simulation→enforcement progression; layered with endpoint AV</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CIP-007 R4</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Security Event Monitoring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Direct (IT-side)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Process + flow telemetry to SIEM with documented retention</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CIP-008</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 Reporting and Response</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Direct (evidence)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Six-artefact reconstruction bundle for every incident; supports E-ISAC notification under R4</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CIP-009</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Recovery Plans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Supporting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Policy and baseline export for DR; not the recovery executor itself</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CIP-010 R1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Configuration Baseline</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Direct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Daily software + listening-port baseline with diff and disposition</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CIP-010 R3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Vulnerability Assessments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Direct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CVE inventory; cadence-based active-VA evidence for High-impact assets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Information Protection (BCSI)</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Supporting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Egress and access pattern monitoring on BCSI-host workloads; layered with DLP and identity controls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Supply Chain Risk Management</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Direct (technical lens)</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Vendor-egress observation, register reconciliation, EACMS allowlisting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CIP-014</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Security (transmission)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Out of scope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 CCTV scope</w:t>
            </w:r>
          </w:p>
        </w:tc>
      </w:tr>
    </w:tbl>
    <w:p>
      <w:pPr>
        <w:pStyle w:val="BodyText"/>
        <w:rPr/>
      </w:pPr>
      <w:r>
        <w:rPr>
          <w:b/>
          <w:bCs/>
        </w:rPr>
        <w:t>Posture takeaway.</w:t>
      </w:r>
      <w:r>
        <w:rPr/>
        <w:t xml:space="preserve"> CSW provides direct coverage on six of the fourteen standards (CIP-005, CIP-007, CIP-008, CIP-010, CIP-013) on the IT side, supporting evidence on three more, and is structurally out of scope on the remaining five (HR, physical, OT-device-layer controls). This is consistent with CSW’s positioning as a workload- protection platform: it does the IT-side jobs well and explicitly defers OT-device and physical/HR scope to the appropriate owners.</w:t>
      </w:r>
    </w:p>
    <w:p>
      <w:pPr>
        <w:pStyle w:val="Normal"/>
        <w:rPr/>
      </w:pPr>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2"/>
        <w:rPr/>
      </w:pPr>
      <w:bookmarkStart w:id="4" w:name="X470be95cef125936a0c59deeb4f44099a333a6d"/>
      <w:r>
        <w:rPr/>
        <w:t>3. Mapping Table — NERC CIP Requirement → CSW Capability → Evidence Artefact</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Requirement</w:t>
            </w:r>
          </w:p>
        </w:tc>
        <w:tc>
          <w:tcPr>
            <w:tcW w:w="312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capability</w:t>
            </w:r>
          </w:p>
        </w:tc>
        <w:tc>
          <w:tcPr>
            <w:tcW w:w="312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Evidence artefact (audit-ready)</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CIP-002 R1 (BCS identification)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 xml:space="preserve">Workload labelling: </w:t>
            </w:r>
            <w:r>
              <w:rPr>
                <w:rStyle w:val="VerbatimChar"/>
                <w:rFonts w:eastAsia="" w:cs=""/>
                <w:kern w:val="0"/>
                <w:szCs w:val="24"/>
                <w:lang w:val="en-US" w:eastAsia="zh-CN" w:bidi="ar-SA"/>
              </w:rPr>
              <w:t>bes_impact</w:t>
            </w:r>
            <w:r>
              <w:rPr>
                <w:rFonts w:eastAsia="" w:cs=""/>
                <w:kern w:val="0"/>
                <w:sz w:val="24"/>
                <w:szCs w:val="24"/>
                <w:lang w:val="en-US" w:eastAsia="zh-CN" w:bidi="ar-SA"/>
              </w:rPr>
              <w:t xml:space="preserve">, </w:t>
            </w:r>
            <w:r>
              <w:rPr>
                <w:rStyle w:val="VerbatimChar"/>
                <w:rFonts w:eastAsia="" w:cs=""/>
                <w:kern w:val="0"/>
                <w:szCs w:val="24"/>
                <w:lang w:val="en-US" w:eastAsia="zh-CN" w:bidi="ar-SA"/>
              </w:rPr>
              <w:t>bes_role</w:t>
            </w:r>
            <w:r>
              <w:rPr>
                <w:rFonts w:eastAsia="" w:cs=""/>
                <w:kern w:val="0"/>
                <w:sz w:val="24"/>
                <w:szCs w:val="24"/>
                <w:lang w:val="en-US" w:eastAsia="zh-CN" w:bidi="ar-SA"/>
              </w:rPr>
              <w:t xml:space="preserve">, </w:t>
            </w:r>
            <w:r>
              <w:rPr>
                <w:rStyle w:val="VerbatimChar"/>
                <w:rFonts w:eastAsia="" w:cs=""/>
                <w:kern w:val="0"/>
                <w:szCs w:val="24"/>
                <w:lang w:val="en-US" w:eastAsia="zh-CN" w:bidi="ar-SA"/>
              </w:rPr>
              <w:t>bcs_id</w:t>
            </w:r>
            <w:r>
              <w:rPr>
                <w:rFonts w:eastAsia="" w:cs=""/>
                <w:kern w:val="0"/>
                <w:sz w:val="24"/>
                <w:szCs w:val="24"/>
                <w:lang w:val="en-US" w:eastAsia="zh-CN" w:bidi="ar-SA"/>
              </w:rPr>
              <w:t xml:space="preserve">, </w:t>
            </w:r>
            <w:r>
              <w:rPr>
                <w:rStyle w:val="VerbatimChar"/>
                <w:rFonts w:eastAsia="" w:cs=""/>
                <w:kern w:val="0"/>
                <w:szCs w:val="24"/>
                <w:lang w:val="en-US" w:eastAsia="zh-CN" w:bidi="ar-SA"/>
              </w:rPr>
              <w:t>esp_member</w:t>
            </w:r>
            <w:r>
              <w:rPr>
                <w:rFonts w:eastAsia="" w:cs=""/>
                <w:kern w:val="0"/>
                <w:sz w:val="24"/>
                <w:szCs w:val="24"/>
                <w:lang w:val="en-US" w:eastAsia="zh-CN" w:bidi="ar-SA"/>
              </w:rPr>
              <w:t xml:space="preserve">, </w:t>
            </w:r>
            <w:r>
              <w:rPr>
                <w:rStyle w:val="VerbatimChar"/>
                <w:rFonts w:eastAsia="" w:cs=""/>
                <w:kern w:val="0"/>
                <w:szCs w:val="24"/>
                <w:lang w:val="en-US" w:eastAsia="zh-CN" w:bidi="ar-SA"/>
              </w:rPr>
              <w:t>facility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Per-scope inventory CSV with workload identity, OS, owner, BCS reference, ESP membership flag, last-seen timestamp</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CIP-005 R1.1 (ESP boundary documentation)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Per-facility policy workspace; documented exception list; deny-by-default to EAP-IP set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Workspace export per facility with simulation→enforcement transition log</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CIP-005 R1.2 (ESP applicability)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Scope membership snapshot for each ESP</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 xml:space="preserve">Dated CSV of every workload tagged </w:t>
            </w:r>
            <w:r>
              <w:rPr>
                <w:rStyle w:val="VerbatimChar"/>
                <w:rFonts w:eastAsia="" w:cs=""/>
                <w:kern w:val="0"/>
                <w:szCs w:val="24"/>
                <w:lang w:val="en-US" w:eastAsia="zh-CN" w:bidi="ar-SA"/>
              </w:rPr>
              <w:t>esp_member=true</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CIP-005 R1.5 (boundary control review)</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enforcement diff report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Diff PDF/CSV delivered to the CIP Senior Manager</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CIP-005 R2 (Interactive Remote Access)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Intermediate-system enforcement policy; weekly IRA-flow report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Per-session flow telemetry export; IRA-pattern report dated within audit window</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CIP-007 R1.1 (Ports and Services baseline)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Per-workload listening-port inventory with process attribution and last-flow timestamp</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listening-port inventory export per workload</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CIP-007 R1.2 (CIP Exceptional Circumstances)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Documented exceptions in the workspace notes; flow-log evidence of exception usage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Exception register with CSW-observed enforcement evidence</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CIP-007 R3 (Malicious Code Prevention)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Behavioural rule catalogue; simulation→enforce progression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Rule catalogue with last-modified dates and CIP coverage mapping</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CIP-007 R4 (Security Event Monitoring)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Process + flow telemetry forwarded to SIEM with retention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SIEM forwarding configuration; sample alert with full forensic context</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CIP-008 R1 (Incident response plan)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Standard six-artefact reconstruction bundle template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Sample dossier from the audit window</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CIP-008 R2 (Implementation testing)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CSW-driven tabletop reachability queries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Pre/post reachability reports for each test</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CIP-010 R1.1.1 (OS/firmware baseline)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Daily OS + kernel snapshot per workload</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Baseline export dated to the period</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CIP-010 R1.1.2–R1.1.3 (software baseline)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Daily package list snapshot per workload</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Baseline export with package + version</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CIP-010 R1.1.4 (network-accessible ports baseline)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Daily listening-port snapshot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Baseline export with port + bound process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CIP-010 R1.1.5 (security patches)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CVE inventory tied to package versions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 export with patch-applied-by date</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CIP-010 R1.5 (unauthorised change monitoring)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Daily diff vs. previous day with disposition column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Diff log with authorised/unauthorised flag tied to change ticket</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CIP-010 R3.1 (active vulnerability assessment)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Per-workload CVE list with CVSS, exploit availability, EPSS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Cadence-based export per impact rating</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CIP-010 R3.2 (pre-commissioning VA)</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First-sighting CVE inventory before ESP connection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Pre-commissioning VA report per new asset</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CIP-011 R1.1 (BCSI access controls)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 xml:space="preserve">Egress and access pattern monitoring on </w:t>
            </w:r>
            <w:r>
              <w:rPr>
                <w:rStyle w:val="VerbatimChar"/>
                <w:rFonts w:eastAsia="" w:cs=""/>
                <w:kern w:val="0"/>
                <w:szCs w:val="24"/>
                <w:lang w:val="en-US" w:eastAsia="zh-CN" w:bidi="ar-SA"/>
              </w:rPr>
              <w:t>bes_role=bcsi-host</w:t>
            </w:r>
            <w:r>
              <w:rPr>
                <w:rFonts w:eastAsia="" w:cs=""/>
                <w:kern w:val="0"/>
                <w:sz w:val="24"/>
                <w:szCs w:val="24"/>
                <w:lang w:val="en-US" w:eastAsia="zh-CN" w:bidi="ar-SA"/>
              </w:rPr>
              <w:t xml:space="preserve"> workloads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BCSI-host inventory + anomaly alert log with disposition</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CIP-011 R1.2 (BCSI in third-party storage)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Cloud Connector coverage of cloud BCSI targets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Cloud inventory + access pattern report</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CIP-013 R1.2.5 (vendor remote access)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EACMS egress allowlist scoped to vendor register</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Allowlist policy export + observed-vs-register delta</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CIP-013 R1.2.6 (vendor incident coordination)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Vendor-egress flow record for any incident window</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Per-incident vendor flow extract</w:t>
            </w:r>
          </w:p>
        </w:tc>
      </w:tr>
    </w:tbl>
    <w:p>
      <w:pPr>
        <w:pStyle w:val="Normal"/>
        <w:rPr/>
      </w:pPr>
      <w:r>
        <w:rPr/>
        <mc:AlternateContent>
          <mc:Choice Requires="wps">
            <w:drawing>
              <wp:inline distT="0" distB="0" distL="0" distR="0">
                <wp:extent cx="635"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rPr/>
      </w:pPr>
      <w:bookmarkStart w:id="5" w:name="out-of-scope-and-complementary-controls"/>
      <w:r>
        <w:rPr/>
        <w:t>4. Out-of-Scope and Complementary Controls</w:t>
      </w:r>
    </w:p>
    <w:p>
      <w:pPr>
        <w:pStyle w:val="FirstParagraph"/>
        <w:rPr/>
      </w:pPr>
      <w:r>
        <w:rPr/>
        <w:t xml:space="preserve">CSW does </w:t>
      </w:r>
      <w:r>
        <w:rPr>
          <w:b/>
          <w:bCs/>
        </w:rPr>
        <w:t>not</w:t>
      </w:r>
      <w:r>
        <w:rPr/>
        <w:t xml:space="preserve"> address the following CIP requirements; reference the noted complementary controls.</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Requirement</w:t>
            </w:r>
          </w:p>
        </w:tc>
        <w:tc>
          <w:tcPr>
            <w:tcW w:w="312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Owner</w:t>
            </w:r>
          </w:p>
        </w:tc>
        <w:tc>
          <w:tcPr>
            <w:tcW w:w="312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Complementary control</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CIP-002 categorisation decision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 Senior Manager + Asset Owners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Risk + engineering analysis against Attachment 1 thresholds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CIP-003 governance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 Senior Manager</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Programme charter, policy library, training records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CIP-004 personnel</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 + CIP Senior Manager</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Background checks, role-based training, access reviews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CIP-005 EAP enforcement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Network/Firewall team</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Boundary firewall pair (Cisco Firepower, Palo Alto, Fortinet, etc.)</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CIP-006 physical security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Facilities + Physical Security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PSP enclosure, badge access, CCTV</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CIP-007 R5 system access controls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Identity/PAM team</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AD/LDAP, PAM (CyberArk, BeyondTrust), MFA</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CIP-009 active recovery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Backup + DR team</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Backup product, DR plan execution</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CIP-014 transmission physical security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Security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Site hardening, vehicle barriers, hardened control house</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 device-layer enforcement (PLCs, IEDs, HMIs)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OT/ICS team</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OT-aware monitoring (Cyber Vision, Claroty, Nozomi, Dragos)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OT-protocol deep packet inspection (DNP3, IEC 61850, Modbus)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OT/ICS team</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OT-aware sensors at the protocol layer</w:t>
            </w:r>
          </w:p>
        </w:tc>
      </w:tr>
    </w:tbl>
    <w:p>
      <w:pPr>
        <w:pStyle w:val="BodyText"/>
        <w:rPr/>
      </w:pPr>
      <w:r>
        <w:rPr/>
        <w:t>CSW’s role in a complete NERC CIP programme is the IT-side segmentation, EACMS hardening, and continuous evidence engine. It explicitly defers the OT device-layer scope to the appropriate specialised stack and the governance / HR / physical scope to the appropriate owners.</w:t>
      </w:r>
    </w:p>
    <w:p>
      <w:pPr>
        <w:pStyle w:val="Normal"/>
        <w:rPr/>
      </w:pPr>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
    </w:p>
    <w:p>
      <w:pPr>
        <w:pStyle w:val="Heading2"/>
        <w:rPr/>
      </w:pPr>
      <w:bookmarkStart w:id="6" w:name="suggested-next-steps"/>
      <w:r>
        <w:rPr/>
        <w:t>5. Suggested Next Steps</w:t>
      </w:r>
    </w:p>
    <w:p>
      <w:pPr>
        <w:pStyle w:val="FirstParagraph"/>
        <w:rPr/>
      </w:pPr>
      <w:r>
        <w:rPr/>
        <w:t>For Registered Entities considering CSW within their NERC CIP programme:</w:t>
      </w:r>
    </w:p>
    <w:p>
      <w:pPr>
        <w:pStyle w:val="Compact"/>
        <w:numPr>
          <w:ilvl w:val="0"/>
          <w:numId w:val="6"/>
        </w:numPr>
        <w:rPr/>
      </w:pPr>
      <w:r>
        <w:rPr>
          <w:b/>
          <w:bCs/>
        </w:rPr>
        <w:t>Confirm CIP-002 inputs.</w:t>
      </w:r>
      <w:r>
        <w:rPr/>
        <w:t xml:space="preserve"> Validate the BCS impact ratings and the EACMS / PACS-supporting / BCSI-host tier definition before starting CSW scope design. CSW labels mirror this taxonomy; bad inputs produce bad evidence.</w:t>
      </w:r>
    </w:p>
    <w:p>
      <w:pPr>
        <w:pStyle w:val="Compact"/>
        <w:numPr>
          <w:ilvl w:val="0"/>
          <w:numId w:val="3"/>
        </w:numPr>
        <w:rPr/>
      </w:pPr>
      <w:r>
        <w:rPr>
          <w:b/>
          <w:bCs/>
        </w:rPr>
        <w:t>Pilot on the EACMS tier first.</w:t>
      </w:r>
      <w:r>
        <w:rPr/>
        <w:t xml:space="preserve"> Jump hosts, vendor-access hosts, AD, PKI, and patch repositories give the highest-value wins (CIP-005 R1 IT-side, CIP-005 R2 IRA evidence, CIP-007 R1 ports inventory) with the lowest deployment friction.</w:t>
      </w:r>
    </w:p>
    <w:p>
      <w:pPr>
        <w:pStyle w:val="Compact"/>
        <w:numPr>
          <w:ilvl w:val="0"/>
          <w:numId w:val="3"/>
        </w:numPr>
        <w:rPr/>
      </w:pPr>
      <w:r>
        <w:rPr>
          <w:b/>
          <w:bCs/>
        </w:rPr>
        <w:t>Pair with the existing EAP firewall pair.</w:t>
      </w:r>
      <w:r>
        <w:rPr/>
        <w:t xml:space="preserve"> CSW does not replace the EAP. Position CSW as the IT-side hardening </w:t>
      </w:r>
      <w:r>
        <w:rPr>
          <w:i/>
          <w:iCs/>
        </w:rPr>
        <w:t>up to</w:t>
      </w:r>
      <w:r>
        <w:rPr/>
        <w:t xml:space="preserve"> the EAP, with the EAP itself remaining the boundary control of record under CIP-005 R1.</w:t>
      </w:r>
    </w:p>
    <w:p>
      <w:pPr>
        <w:pStyle w:val="Compact"/>
        <w:numPr>
          <w:ilvl w:val="0"/>
          <w:numId w:val="3"/>
        </w:numPr>
        <w:rPr/>
      </w:pPr>
      <w:r>
        <w:rPr>
          <w:b/>
          <w:bCs/>
        </w:rPr>
        <w:t>Wire the CIP-010 R1.5 unauthorised-change feed into your ticketing system day one.</w:t>
      </w:r>
      <w:r>
        <w:rPr/>
        <w:t xml:space="preserve"> The orphan-change report is one of the most asked-for artefacts during RSAW evidence requests, and CSW produces it automatically.</w:t>
      </w:r>
    </w:p>
    <w:p>
      <w:pPr>
        <w:pStyle w:val="Compact"/>
        <w:numPr>
          <w:ilvl w:val="0"/>
          <w:numId w:val="3"/>
        </w:numPr>
        <w:rPr/>
      </w:pPr>
      <w:r>
        <w:rPr>
          <w:b/>
          <w:bCs/>
        </w:rPr>
        <w:t>Tie the CIP-013 vendor-egress allowlist to your supplier onboarding workflow.</w:t>
      </w:r>
      <w:r>
        <w:rPr/>
        <w:t xml:space="preserve"> Adding CSW allowlist updates as a step in vendor onboarding closes the most common audit gap (vendor endpoint observed but not in the register).</w:t>
      </w:r>
    </w:p>
    <w:p>
      <w:pPr>
        <w:pStyle w:val="Compact"/>
        <w:numPr>
          <w:ilvl w:val="0"/>
          <w:numId w:val="3"/>
        </w:numPr>
        <w:rPr/>
      </w:pPr>
      <w:r>
        <w:rPr>
          <w:b/>
          <w:bCs/>
        </w:rPr>
        <w:t>Plan SME review.</w:t>
      </w:r>
      <w:r>
        <w:rPr/>
        <w:t xml:space="preserve"> This document is a v1 mapping. Before being relied upon in a formal compliance engagement, route to a NERC CIP compliance specialist for regulatory accuracy and to a current Cisco Secure Workload SE for product-capability accuracy.</w:t>
      </w:r>
    </w:p>
    <w:p>
      <w:pPr>
        <w:pStyle w:val="Normal"/>
        <w:rPr/>
      </w:pPr>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
    </w:p>
    <w:p>
      <w:pPr>
        <w:pStyle w:val="Heading2"/>
        <w:rPr/>
      </w:pPr>
      <w:bookmarkStart w:id="7" w:name="disclaimer"/>
      <w:r>
        <w:rPr/>
        <w:t>6. Disclaimer</w:t>
      </w:r>
    </w:p>
    <w:p>
      <w:pPr>
        <w:pStyle w:val="FirstParagraph"/>
        <w:rPr/>
      </w:pPr>
      <w:r>
        <w:rPr/>
        <w:t xml:space="preserve">This report and its companion runbook describe how Cisco Secure Workload capabilities can support a NERC CIP cybersecurity programme on the </w:t>
      </w:r>
      <w:r>
        <w:rPr>
          <w:b/>
          <w:bCs/>
        </w:rPr>
        <w:t>IT side</w:t>
      </w:r>
      <w:r>
        <w:rPr/>
        <w:t xml:space="preserve"> of the IT/OT boundary. They are </w:t>
      </w:r>
      <w:r>
        <w:rPr>
          <w:b/>
          <w:bCs/>
        </w:rPr>
        <w:t>not</w:t>
      </w:r>
      <w:r>
        <w:rPr/>
        <w:t xml:space="preserve"> legal or regulatory advice and do not constitute a finding of compliance.</w:t>
      </w:r>
    </w:p>
    <w:p>
      <w:pPr>
        <w:pStyle w:val="BodyText"/>
        <w:rPr/>
      </w:pPr>
      <w:r>
        <w:rPr/>
        <w:t>Specifically:</w:t>
      </w:r>
    </w:p>
    <w:p>
      <w:pPr>
        <w:pStyle w:val="Compact"/>
        <w:numPr>
          <w:ilvl w:val="0"/>
          <w:numId w:val="1"/>
        </w:numPr>
        <w:rPr/>
      </w:pPr>
      <w:r>
        <w:rPr/>
        <w:t>Final identification and categorisation of BES Cyber Systems (CIP-002), the design of ESP and EAP arrangements (CIP-005), determination of impact ratings (Attachment 1), CIP-008 reportable Cyber Security Incident decisions (R4), and the formal RSAW audit response remain the responsibility of the Registered Entity’s CIP Senior Manager and qualified compliance counsel, working with the applicable Regional Entity (WECC, NPCC, RF, SERC, TRE, MRO).</w:t>
      </w:r>
    </w:p>
    <w:p>
      <w:pPr>
        <w:pStyle w:val="Compact"/>
        <w:numPr>
          <w:ilvl w:val="0"/>
          <w:numId w:val="1"/>
        </w:numPr>
        <w:rPr/>
      </w:pPr>
      <w:r>
        <w:rPr/>
        <w:t>CSW does not enforce policy on PLCs, RTUs, IEDs, HMIs, or any other Level 0–2 OT device, and is not certified as an Electronic Access Point (EAP).</w:t>
      </w:r>
    </w:p>
    <w:p>
      <w:pPr>
        <w:pStyle w:val="Compact"/>
        <w:numPr>
          <w:ilvl w:val="0"/>
          <w:numId w:val="1"/>
        </w:numPr>
        <w:rPr/>
      </w:pPr>
      <w:r>
        <w:rPr/>
        <w:t>Cisco product capabilities, NERC standards effective revisions, and Regional Entity audit guidance evolve. Always validate against the current effective revision of each CIP standard published on the NERC web site, against your Regional Entity’s current audit guidance, and against any FERC orders amending applicability or compliance dates.</w:t>
      </w:r>
    </w:p>
    <w:p>
      <w:pPr>
        <w:pStyle w:val="FirstParagraph"/>
        <w:spacing w:before="180" w:after="180"/>
        <w:rPr/>
      </w:pPr>
      <w:r>
        <w:rPr/>
        <w:t>This document should receive subject-matter-expert review for both NERC CIP regulatory accuracy and current Cisco product capability before being used in a customer engagement.</w:t>
      </w:r>
      <w:bookmarkEnd w:id="0"/>
      <w:bookmarkEnd w:id="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3"/>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Arial Unicode M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Arial Unicode M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LibreOffice/26.2.3.2$MacOSX_X86_64 LibreOffice_project/70e089b17412e4cb7773e41413306b17a2328c34</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2026-05-02T01:31:57Z</dcterms:created>
  <dc:creator>Cisco Secure Workload — Compliance Mapping Series</dc:creator>
  <dc:description/>
  <dc:language>en</dc:language>
  <cp:lastModifiedBy/>
  <dcterms:modified xsi:type="dcterms:W3CDTF">2026-05-02T01:31:57Z</dcterms:modified>
  <cp:revision>0</cp:revision>
  <dc:subject/>
  <dc:title>NERC CIP — Compliance Report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(draft — pending SME review)</vt:lpwstr>
  </property>
  <property fmtid="{D5CDD505-2E9C-101B-9397-08002B2CF9AE}" pid="3" name="subtitle">
    <vt:lpwstr>Cisco Secure Workload | IT-Side Mapping for the Bulk Electric System</vt:lpwstr>
  </property>
</Properties>
</file>