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BSI C5 Compliance Report</w:t>
      </w:r>
    </w:p>
    <w:bookmarkStart w:id="22" w:name="X06357963e33d38f0b1bd03ae04f044b265f5744"/>
    <w:p>
      <w:pPr>
        <w:pStyle w:val="Heading1"/>
      </w:pPr>
      <w:r>
        <w:t xml:space="preserve">Cisco Secure Workload - BSI C5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BSI Cloud Computing Compliance Criteria Catalogue (C5:2020)</w:t>
      </w:r>
      <w:r>
        <w:br/>
      </w:r>
      <w:r>
        <w:rPr>
          <w:b/>
          <w:bCs/>
        </w:rPr>
        <w:t xml:space="preserve">Primary audience:</w:t>
      </w:r>
      <w:r>
        <w:t xml:space="preserve"> </w:t>
      </w:r>
      <w:r>
        <w:t xml:space="preserve">Cloud service providers (CSPs) and cloud-hosted workload owners serving German federal / public-sector customers or any customer that contractually requires C5 evidence.</w:t>
      </w:r>
      <w:r>
        <w:br/>
      </w:r>
      <w:r>
        <w:rPr>
          <w:b/>
          <w:bCs/>
        </w:rPr>
        <w:t xml:space="preserve">CSW positioning:</w:t>
      </w:r>
      <w:r>
        <w:t xml:space="preserve"> </w:t>
      </w:r>
      <w:r>
        <w:t xml:space="preserve">Cloud workload segmentation, operations security (OPS), communication security (KOS), workload-to-workload identity and access management (IDM), asset management (AM), and security incident management (SIM) evidence.</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C5:2020. BSI may publish revisions; validate the catalogue version against the customer’s assessment scope. C5 distinguishes Basic Criteria from Additional Criteria (the latter expanding evidence requirements). Topic areas in this report are referenced by name and area abbreviation; specific criterion numbering may vary across catalogue revisions.</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CSW-BSI-C5-Technical-Runbook.md</w:t>
      </w:r>
      <w:r>
        <w:t xml:space="preserve">) in this folder contains the deeper engineering detail.</w:t>
      </w:r>
    </w:p>
    <w:p>
      <w:r>
        <w:pict>
          <v:rect style="width:0;height:1.5pt" o:hralign="center" o:hrstd="t" o:hr="t"/>
        </w:pict>
      </w:r>
    </w:p>
    <w:bookmarkEnd w:id="11"/>
    <w:bookmarkStart w:id="12" w:name="executive-summary"/>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2"/>
    <w:bookmarkStart w:id="13" w:name="suggested-csw-scope-pattern"/>
    <w:p>
      <w:pPr>
        <w:pStyle w:val="Heading2"/>
      </w:pPr>
      <w:r>
        <w:t xml:space="preserve">Suggested CSW Scope Pattern</w:t>
      </w:r>
    </w:p>
    <w:p>
      <w:pPr>
        <w:pStyle w:val="SourceCode"/>
      </w:pPr>
      <w:r>
        <w:rPr>
          <w:rStyle w:val="VerbatimChar"/>
        </w:rPr>
        <w:t xml:space="preserve">BSI-C5</w:t>
      </w:r>
      <w:r>
        <w:br/>
      </w:r>
      <w:r>
        <w:rPr>
          <w:rStyle w:val="VerbatimChar"/>
        </w:rPr>
        <w:t xml:space="preserve">├── Customer-Tenants (Tenant-A, Tenant-B, Tenant-C ...)</w:t>
      </w:r>
      <w:r>
        <w:br/>
      </w:r>
      <w:r>
        <w:rPr>
          <w:rStyle w:val="VerbatimChar"/>
        </w:rPr>
        <w:t xml:space="preserve">├── Shared-Infrastructure (Identity-Layer, Logging-Telemetry, Patch-Configuration, Backup-Layer)</w:t>
      </w:r>
      <w:r>
        <w:br/>
      </w:r>
      <w:r>
        <w:rPr>
          <w:rStyle w:val="VerbatimChar"/>
        </w:rPr>
        <w:t xml:space="preserve">├── Management-Plane (Operator-Jump-Hosts, Admin-Consoles)</w:t>
      </w:r>
      <w:r>
        <w:br/>
      </w:r>
      <w:r>
        <w:rPr>
          <w:rStyle w:val="VerbatimChar"/>
        </w:rPr>
        <w:t xml:space="preserve">└── External-Service-Providers</w:t>
      </w:r>
    </w:p>
    <w:p>
      <w:pPr>
        <w:pStyle w:val="FirstParagraph"/>
      </w:pPr>
      <w:r>
        <w:t xml:space="preserve">This scope pattern should be validated with the customer’s architecture, application owners, compliance team, and assessor before it is used for formal evidence.</w:t>
      </w:r>
    </w:p>
    <w:bookmarkEnd w:id="13"/>
    <w:bookmarkStart w:id="14" w:name="in-scope-for-csw-evidence"/>
    <w:p>
      <w:pPr>
        <w:pStyle w:val="Heading2"/>
      </w:pPr>
      <w:r>
        <w:t xml:space="preserve">In Scope for CSW Evidence</w:t>
      </w:r>
    </w:p>
    <w:p>
      <w:pPr>
        <w:pStyle w:val="Compact"/>
        <w:numPr>
          <w:ilvl w:val="0"/>
          <w:numId w:val="1001"/>
        </w:numPr>
      </w:pPr>
      <w:r>
        <w:t xml:space="preserve">Asset Management (AM)</w:t>
      </w:r>
    </w:p>
    <w:p>
      <w:pPr>
        <w:pStyle w:val="Compact"/>
        <w:numPr>
          <w:ilvl w:val="0"/>
          <w:numId w:val="1001"/>
        </w:numPr>
      </w:pPr>
      <w:r>
        <w:t xml:space="preserve">Communication Security (KOS) - tenant separation and segmentation</w:t>
      </w:r>
    </w:p>
    <w:p>
      <w:pPr>
        <w:pStyle w:val="Compact"/>
        <w:numPr>
          <w:ilvl w:val="0"/>
          <w:numId w:val="1001"/>
        </w:numPr>
      </w:pPr>
      <w:r>
        <w:t xml:space="preserve">Operations Security (OPS) - monitoring, vulnerability + reachability, configuration baseline</w:t>
      </w:r>
    </w:p>
    <w:p>
      <w:pPr>
        <w:pStyle w:val="Compact"/>
        <w:numPr>
          <w:ilvl w:val="0"/>
          <w:numId w:val="1001"/>
        </w:numPr>
      </w:pPr>
      <w:r>
        <w:t xml:space="preserve">Identity and Access Management (IDM) - workload-to-workload layer</w:t>
      </w:r>
    </w:p>
    <w:p>
      <w:pPr>
        <w:pStyle w:val="Compact"/>
        <w:numPr>
          <w:ilvl w:val="0"/>
          <w:numId w:val="1001"/>
        </w:numPr>
      </w:pPr>
      <w:r>
        <w:t xml:space="preserve">Cryptography (KRY) - plaintext-flow detection only</w:t>
      </w:r>
    </w:p>
    <w:p>
      <w:pPr>
        <w:pStyle w:val="Compact"/>
        <w:numPr>
          <w:ilvl w:val="0"/>
          <w:numId w:val="1001"/>
        </w:numPr>
      </w:pPr>
      <w:r>
        <w:t xml:space="preserve">Supplier / Sub-Service Provider Control (SP)</w:t>
      </w:r>
    </w:p>
    <w:p>
      <w:pPr>
        <w:pStyle w:val="Compact"/>
        <w:numPr>
          <w:ilvl w:val="0"/>
          <w:numId w:val="1001"/>
        </w:numPr>
      </w:pPr>
      <w:r>
        <w:t xml:space="preserve">Security Incident Management (SIM)</w:t>
      </w:r>
    </w:p>
    <w:p>
      <w:pPr>
        <w:pStyle w:val="Compact"/>
        <w:numPr>
          <w:ilvl w:val="0"/>
          <w:numId w:val="1001"/>
        </w:numPr>
      </w:pPr>
      <w:r>
        <w:t xml:space="preserve">Business Continuity (BCM) - approved flow baseline as input to recoverability</w:t>
      </w:r>
    </w:p>
    <w:p>
      <w:pPr>
        <w:pStyle w:val="Compact"/>
        <w:numPr>
          <w:ilvl w:val="0"/>
          <w:numId w:val="1001"/>
        </w:numPr>
      </w:pPr>
      <w:r>
        <w:t xml:space="preserve">Compliance (COM) and Investigation (INQ) - evidence pack inputs</w:t>
      </w:r>
    </w:p>
    <w:bookmarkEnd w:id="14"/>
    <w:bookmarkStart w:id="15" w:name="Xaed999129ed4b1f11f99b5af2968248bad86dd6"/>
    <w:p>
      <w:pPr>
        <w:pStyle w:val="Heading2"/>
      </w:pPr>
      <w:r>
        <w:t xml:space="preserve">Out of Scope (Must Be Evidenced by Other Controls / Tools / Processes)</w:t>
      </w:r>
    </w:p>
    <w:p>
      <w:pPr>
        <w:pStyle w:val="Compact"/>
        <w:numPr>
          <w:ilvl w:val="0"/>
          <w:numId w:val="1002"/>
        </w:numPr>
      </w:pPr>
      <w:r>
        <w:t xml:space="preserve">Organisation of Information Security (OIS)</w:t>
      </w:r>
    </w:p>
    <w:p>
      <w:pPr>
        <w:pStyle w:val="Compact"/>
        <w:numPr>
          <w:ilvl w:val="0"/>
          <w:numId w:val="1002"/>
        </w:numPr>
      </w:pPr>
      <w:r>
        <w:t xml:space="preserve">Personnel (HR)</w:t>
      </w:r>
    </w:p>
    <w:p>
      <w:pPr>
        <w:pStyle w:val="Compact"/>
        <w:numPr>
          <w:ilvl w:val="0"/>
          <w:numId w:val="1002"/>
        </w:numPr>
      </w:pPr>
      <w:r>
        <w:t xml:space="preserve">Physical Security (PS)</w:t>
      </w:r>
    </w:p>
    <w:p>
      <w:pPr>
        <w:pStyle w:val="Compact"/>
        <w:numPr>
          <w:ilvl w:val="0"/>
          <w:numId w:val="1002"/>
        </w:numPr>
      </w:pPr>
      <w:r>
        <w:t xml:space="preserve">Portability and Interoperability (PI)</w:t>
      </w:r>
    </w:p>
    <w:p>
      <w:pPr>
        <w:pStyle w:val="Compact"/>
        <w:numPr>
          <w:ilvl w:val="0"/>
          <w:numId w:val="1002"/>
        </w:numPr>
      </w:pPr>
      <w:r>
        <w:t xml:space="preserve">Procurement, Development, and Modification (DEV) - code-level controls</w:t>
      </w:r>
    </w:p>
    <w:p>
      <w:pPr>
        <w:pStyle w:val="Compact"/>
        <w:numPr>
          <w:ilvl w:val="0"/>
          <w:numId w:val="1002"/>
        </w:numPr>
      </w:pPr>
      <w:r>
        <w:t xml:space="preserve">Cryptography enforcement and key management (KRY enforcement)</w:t>
      </w:r>
    </w:p>
    <w:bookmarkEnd w:id="15"/>
    <w:bookmarkStart w:id="16"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 topic</w:t>
            </w:r>
          </w:p>
        </w:tc>
        <w:tc>
          <w:tcPr/>
          <w:p>
            <w:pPr>
              <w:pStyle w:val="Compact"/>
            </w:pPr>
            <w:r>
              <w:t xml:space="preserve">CSW capability</w:t>
            </w:r>
          </w:p>
        </w:tc>
        <w:tc>
          <w:tcPr/>
          <w:p>
            <w:pPr>
              <w:pStyle w:val="Compact"/>
            </w:pPr>
            <w:r>
              <w:t xml:space="preserve">Evidence artifact</w:t>
            </w:r>
          </w:p>
        </w:tc>
      </w:tr>
      <w:tr>
        <w:tc>
          <w:tcPr/>
          <w:p>
            <w:pPr>
              <w:pStyle w:val="Compact"/>
            </w:pPr>
            <w:r>
              <w:t xml:space="preserve">Asset Management (AM)</w:t>
            </w:r>
          </w:p>
        </w:tc>
        <w:tc>
          <w:tcPr/>
          <w:p>
            <w:pPr>
              <w:pStyle w:val="Compact"/>
            </w:pPr>
            <w:r>
              <w:t xml:space="preserve">Workload inventory; scope + label export</w:t>
            </w:r>
          </w:p>
        </w:tc>
        <w:tc>
          <w:tcPr/>
          <w:p>
            <w:pPr>
              <w:pStyle w:val="Compact"/>
            </w:pPr>
            <w:r>
              <w:t xml:space="preserve">Inventory + classification evidence</w:t>
            </w:r>
          </w:p>
        </w:tc>
      </w:tr>
      <w:tr>
        <w:tc>
          <w:tcPr/>
          <w:p>
            <w:pPr>
              <w:pStyle w:val="Compact"/>
            </w:pPr>
            <w:r>
              <w:t xml:space="preserve">Communication Security (KOS) - tenant separation</w:t>
            </w:r>
          </w:p>
        </w:tc>
        <w:tc>
          <w:tcPr/>
          <w:p>
            <w:pPr>
              <w:pStyle w:val="Compact"/>
            </w:pPr>
            <w:r>
              <w:t xml:space="preserve">Policy workspace + cross-tenant deny enforcement</w:t>
            </w:r>
          </w:p>
        </w:tc>
        <w:tc>
          <w:tcPr/>
          <w:p>
            <w:pPr>
              <w:pStyle w:val="Compact"/>
            </w:pPr>
            <w:r>
              <w:t xml:space="preserve">Workspace snapshot + cross-tenant violation log (the heart of multi-tenant KOS evidence)</w:t>
            </w:r>
          </w:p>
        </w:tc>
      </w:tr>
      <w:tr>
        <w:tc>
          <w:tcPr/>
          <w:p>
            <w:pPr>
              <w:pStyle w:val="Compact"/>
            </w:pPr>
            <w:r>
              <w:t xml:space="preserve">Operations Security (OPS)</w:t>
            </w:r>
          </w:p>
        </w:tc>
        <w:tc>
          <w:tcPr/>
          <w:p>
            <w:pPr>
              <w:pStyle w:val="Compact"/>
            </w:pPr>
            <w:r>
              <w:t xml:space="preserve">Continuous monitoring; vulnerability + reachability; configuration drift on policy</w:t>
            </w:r>
          </w:p>
        </w:tc>
        <w:tc>
          <w:tcPr/>
          <w:p>
            <w:pPr>
              <w:pStyle w:val="Compact"/>
            </w:pPr>
            <w:r>
              <w:t xml:space="preserve">Operations evidence pack</w:t>
            </w:r>
          </w:p>
        </w:tc>
      </w:tr>
      <w:tr>
        <w:tc>
          <w:tcPr/>
          <w:p>
            <w:pPr>
              <w:pStyle w:val="Compact"/>
            </w:pPr>
            <w:r>
              <w:t xml:space="preserve">Identity and Access Management (IDM)</w:t>
            </w:r>
          </w:p>
        </w:tc>
        <w:tc>
          <w:tcPr/>
          <w:p>
            <w:pPr>
              <w:pStyle w:val="Compact"/>
            </w:pPr>
            <w:r>
              <w:t xml:space="preserve">Policy workspace + enforcement / violation log</w:t>
            </w:r>
          </w:p>
        </w:tc>
        <w:tc>
          <w:tcPr/>
          <w:p>
            <w:pPr>
              <w:pStyle w:val="Compact"/>
            </w:pPr>
            <w:r>
              <w:t xml:space="preserve">Workload-to-workload privilege evidence</w:t>
            </w:r>
          </w:p>
        </w:tc>
      </w:tr>
      <w:tr>
        <w:tc>
          <w:tcPr/>
          <w:p>
            <w:pPr>
              <w:pStyle w:val="Compact"/>
            </w:pPr>
            <w:r>
              <w:t xml:space="preserve">Cryptography (KRY) - detection</w:t>
            </w:r>
          </w:p>
        </w:tc>
        <w:tc>
          <w:tcPr/>
          <w:p>
            <w:pPr>
              <w:pStyle w:val="Compact"/>
            </w:pPr>
            <w:r>
              <w:t xml:space="preserve">Plaintext-flow detection on regulated paths</w:t>
            </w:r>
          </w:p>
        </w:tc>
        <w:tc>
          <w:tcPr/>
          <w:p>
            <w:pPr>
              <w:pStyle w:val="Compact"/>
            </w:pPr>
            <w:r>
              <w:t xml:space="preserve">Detection input only</w:t>
            </w:r>
          </w:p>
        </w:tc>
      </w:tr>
      <w:tr>
        <w:tc>
          <w:tcPr/>
          <w:p>
            <w:pPr>
              <w:pStyle w:val="Compact"/>
            </w:pPr>
            <w:r>
              <w:t xml:space="preserve">Sub-Service Provider Control (SP)</w:t>
            </w:r>
          </w:p>
        </w:tc>
        <w:tc>
          <w:tcPr/>
          <w:p>
            <w:pPr>
              <w:pStyle w:val="Compact"/>
            </w:pPr>
            <w:r>
              <w:t xml:space="preserve">Outbound flow summary to service-provider endpoints</w:t>
            </w:r>
          </w:p>
        </w:tc>
        <w:tc>
          <w:tcPr/>
          <w:p>
            <w:pPr>
              <w:pStyle w:val="Compact"/>
            </w:pPr>
            <w:r>
              <w:t xml:space="preserve">Service-provider egress report</w:t>
            </w:r>
          </w:p>
        </w:tc>
      </w:tr>
      <w:tr>
        <w:tc>
          <w:tcPr/>
          <w:p>
            <w:pPr>
              <w:pStyle w:val="Compact"/>
            </w:pPr>
            <w:r>
              <w:t xml:space="preserve">Security Incident Management (SIM)</w:t>
            </w:r>
          </w:p>
        </w:tc>
        <w:tc>
          <w:tcPr/>
          <w:p>
            <w:pPr>
              <w:pStyle w:val="Compact"/>
            </w:pPr>
            <w:r>
              <w:t xml:space="preserve">Forensic flow + process telemetry</w:t>
            </w:r>
          </w:p>
        </w:tc>
        <w:tc>
          <w:tcPr/>
          <w:p>
            <w:pPr>
              <w:pStyle w:val="Compact"/>
            </w:pPr>
            <w:r>
              <w:t xml:space="preserve">Investigation pack with timeline and tenant-impact scope</w:t>
            </w:r>
          </w:p>
        </w:tc>
      </w:tr>
      <w:tr>
        <w:tc>
          <w:tcPr/>
          <w:p>
            <w:pPr>
              <w:pStyle w:val="Compact"/>
            </w:pPr>
            <w:r>
              <w:t xml:space="preserve">Business Continuity (BCM)</w:t>
            </w:r>
          </w:p>
        </w:tc>
        <w:tc>
          <w:tcPr/>
          <w:p>
            <w:pPr>
              <w:pStyle w:val="Compact"/>
            </w:pPr>
            <w:r>
              <w:t xml:space="preserve">Approved flow baseline</w:t>
            </w:r>
          </w:p>
        </w:tc>
        <w:tc>
          <w:tcPr/>
          <w:p>
            <w:pPr>
              <w:pStyle w:val="Compact"/>
            </w:pPr>
            <w:r>
              <w:t xml:space="preserve">Recoverability input only</w:t>
            </w:r>
          </w:p>
        </w:tc>
      </w:tr>
      <w:tr>
        <w:tc>
          <w:tcPr/>
          <w:p>
            <w:pPr>
              <w:pStyle w:val="Compact"/>
            </w:pPr>
            <w:r>
              <w:t xml:space="preserve">Compliance (COM)</w:t>
            </w:r>
          </w:p>
        </w:tc>
        <w:tc>
          <w:tcPr/>
          <w:p>
            <w:pPr>
              <w:pStyle w:val="Compact"/>
            </w:pPr>
            <w:r>
              <w:t xml:space="preserve">Periodic evidence pack</w:t>
            </w:r>
          </w:p>
        </w:tc>
        <w:tc>
          <w:tcPr/>
          <w:p>
            <w:pPr>
              <w:pStyle w:val="Compact"/>
            </w:pPr>
            <w:r>
              <w:t xml:space="preserve">Auditor work-paper input</w:t>
            </w:r>
          </w:p>
        </w:tc>
      </w:tr>
    </w:tbl>
    <w:bookmarkEnd w:id="16"/>
    <w:bookmarkStart w:id="17"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What to collect</w:t>
            </w:r>
          </w:p>
        </w:tc>
        <w:tc>
          <w:tcPr/>
          <w:p>
            <w:pPr>
              <w:pStyle w:val="Compact"/>
            </w:pPr>
            <w:r>
              <w:t xml:space="preserve">CSW source</w:t>
            </w:r>
          </w:p>
        </w:tc>
        <w:tc>
          <w:tcPr/>
          <w:p>
            <w:pPr>
              <w:pStyle w:val="Compact"/>
            </w:pPr>
            <w:r>
              <w:t xml:space="preserve">Suggested cadence</w:t>
            </w:r>
          </w:p>
        </w:tc>
      </w:tr>
      <w:tr>
        <w:tc>
          <w:tcPr/>
          <w:p>
            <w:pPr>
              <w:pStyle w:val="Compact"/>
            </w:pPr>
            <w:r>
              <w:t xml:space="preserve">Cloud workload inventory across tenants</w:t>
            </w:r>
          </w:p>
        </w:tc>
        <w:tc>
          <w:tcPr/>
          <w:p>
            <w:pPr>
              <w:pStyle w:val="Compact"/>
            </w:pPr>
            <w:r>
              <w:t xml:space="preserve">Workloads grouped by tenant and service offering</w:t>
            </w:r>
          </w:p>
        </w:tc>
        <w:tc>
          <w:tcPr/>
          <w:p>
            <w:pPr>
              <w:pStyle w:val="Compact"/>
            </w:pPr>
            <w:r>
              <w:t xml:space="preserve">Inventory + scope membership export filtered by tenant, customer, service_offering</w:t>
            </w:r>
          </w:p>
        </w:tc>
        <w:tc>
          <w:tcPr/>
          <w:p>
            <w:pPr>
              <w:pStyle w:val="Compact"/>
            </w:pPr>
            <w:r>
              <w:t xml:space="preserve">Monthly</w:t>
            </w:r>
          </w:p>
        </w:tc>
      </w:tr>
      <w:tr>
        <w:tc>
          <w:tcPr/>
          <w:p>
            <w:pPr>
              <w:pStyle w:val="Compact"/>
            </w:pPr>
            <w:r>
              <w:t xml:space="preserve">Tenant separation evidence</w:t>
            </w:r>
          </w:p>
        </w:tc>
        <w:tc>
          <w:tcPr/>
          <w:p>
            <w:pPr>
              <w:pStyle w:val="Compact"/>
            </w:pPr>
            <w:r>
              <w:t xml:space="preserve">Cross-tenant deny enforcement and violation log</w:t>
            </w:r>
          </w:p>
        </w:tc>
        <w:tc>
          <w:tcPr/>
          <w:p>
            <w:pPr>
              <w:pStyle w:val="Compact"/>
            </w:pPr>
            <w:r>
              <w:t xml:space="preserve">Policy workspace export + policy analysis output</w:t>
            </w:r>
          </w:p>
        </w:tc>
        <w:tc>
          <w:tcPr/>
          <w:p>
            <w:pPr>
              <w:pStyle w:val="Compact"/>
            </w:pPr>
            <w:r>
              <w:t xml:space="preserve">Continuous; reviewed quarterly</w:t>
            </w:r>
          </w:p>
        </w:tc>
      </w:tr>
      <w:tr>
        <w:tc>
          <w:tcPr/>
          <w:p>
            <w:pPr>
              <w:pStyle w:val="Compact"/>
            </w:pPr>
            <w:r>
              <w:t xml:space="preserve">Operations evidence</w:t>
            </w:r>
          </w:p>
        </w:tc>
        <w:tc>
          <w:tcPr/>
          <w:p>
            <w:pPr>
              <w:pStyle w:val="Compact"/>
            </w:pPr>
            <w:r>
              <w:t xml:space="preserve">Continuous monitoring + reachability-weighted vulnerability data</w:t>
            </w:r>
          </w:p>
        </w:tc>
        <w:tc>
          <w:tcPr/>
          <w:p>
            <w:pPr>
              <w:pStyle w:val="Compact"/>
            </w:pPr>
            <w:r>
              <w:t xml:space="preserve">Vulnerability report scoped to BSI-C5 + alert log</w:t>
            </w:r>
          </w:p>
        </w:tc>
        <w:tc>
          <w:tcPr/>
          <w:p>
            <w:pPr>
              <w:pStyle w:val="Compact"/>
            </w:pPr>
            <w:r>
              <w:t xml:space="preserve">Monthly</w:t>
            </w:r>
          </w:p>
        </w:tc>
      </w:tr>
      <w:tr>
        <w:tc>
          <w:tcPr/>
          <w:p>
            <w:pPr>
              <w:pStyle w:val="Compact"/>
            </w:pPr>
            <w:r>
              <w:t xml:space="preserve">Sub-service-provider egress</w:t>
            </w:r>
          </w:p>
        </w:tc>
        <w:tc>
          <w:tcPr/>
          <w:p>
            <w:pPr>
              <w:pStyle w:val="Compact"/>
            </w:pPr>
            <w:r>
              <w:t xml:space="preserve">Outbound flow to External-Service-Providers</w:t>
            </w:r>
          </w:p>
        </w:tc>
        <w:tc>
          <w:tcPr/>
          <w:p>
            <w:pPr>
              <w:pStyle w:val="Compact"/>
            </w:pPr>
            <w:r>
              <w:t xml:space="preserve">Flow search filtered to external service-provider endpoints</w:t>
            </w:r>
          </w:p>
        </w:tc>
        <w:tc>
          <w:tcPr/>
          <w:p>
            <w:pPr>
              <w:pStyle w:val="Compact"/>
            </w:pPr>
            <w:r>
              <w:t xml:space="preserve">Monthly</w:t>
            </w:r>
          </w:p>
        </w:tc>
      </w:tr>
      <w:tr>
        <w:tc>
          <w:tcPr/>
          <w:p>
            <w:pPr>
              <w:pStyle w:val="Compact"/>
            </w:pPr>
            <w:r>
              <w:t xml:space="preserve">Incident sample (per tenant)</w:t>
            </w:r>
          </w:p>
        </w:tc>
        <w:tc>
          <w:tcPr/>
          <w:p>
            <w:pPr>
              <w:pStyle w:val="Compact"/>
            </w:pPr>
            <w:r>
              <w:t xml:space="preserve">Workload-level timeline including tenant identification</w:t>
            </w:r>
          </w:p>
        </w:tc>
        <w:tc>
          <w:tcPr/>
          <w:p>
            <w:pPr>
              <w:pStyle w:val="Compact"/>
            </w:pPr>
            <w:r>
              <w:t xml:space="preserve">Flow + process search</w:t>
            </w:r>
          </w:p>
        </w:tc>
        <w:tc>
          <w:tcPr/>
          <w:p>
            <w:pPr>
              <w:pStyle w:val="Compact"/>
            </w:pPr>
            <w:r>
              <w:t xml:space="preserve">Per incident; one representative sample per audit cycle</w:t>
            </w:r>
          </w:p>
        </w:tc>
      </w:tr>
    </w:tbl>
    <w:bookmarkEnd w:id="17"/>
    <w:bookmarkStart w:id="18"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8"/>
    <w:bookmarkStart w:id="19" w:name="boundaries-and-complementary-controls"/>
    <w:p>
      <w:pPr>
        <w:pStyle w:val="Heading2"/>
      </w:pPr>
      <w:r>
        <w:t xml:space="preserve">Boundaries and Complementary Controls</w:t>
      </w:r>
    </w:p>
    <w:p>
      <w:pPr>
        <w:pStyle w:val="FirstParagraph"/>
      </w:pPr>
      <w:r>
        <w:t xml:space="preserve">CSW does not replace BSI C5 attestation, CSP organisational and physical controls, supplier contractual arrangements, identity lifecycle, key management / cryptography enforcement, backup/DR, portability and interoperability assurance, or shared-responsibility model decisions.</w:t>
      </w:r>
    </w:p>
    <w:bookmarkEnd w:id="19"/>
    <w:bookmarkStart w:id="20"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0"/>
    <w:bookmarkStart w:id="21"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BSI C5 Compliance Report</dc:title>
  <dc:creator/>
  <cp:keywords/>
  <dcterms:created xsi:type="dcterms:W3CDTF">2026-05-13T18:07:56Z</dcterms:created>
  <dcterms:modified xsi:type="dcterms:W3CDTF">2026-05-13T18:07:56Z</dcterms:modified>
</cp:coreProperties>
</file>

<file path=docProps/custom.xml><?xml version="1.0" encoding="utf-8"?>
<Properties xmlns="http://schemas.openxmlformats.org/officeDocument/2006/custom-properties" xmlns:vt="http://schemas.openxmlformats.org/officeDocument/2006/docPropsVTypes"/>
</file>