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CMMC 2.0 — Compliance Report</w:t>
      </w:r>
    </w:p>
    <w:p>
      <w:pPr>
        <w:pStyle w:val="Subtitle"/>
        <w:rPr/>
      </w:pPr>
      <w:r>
        <w:rPr/>
        <w:t>Cisco Secure Workload | Level 2 Lead with Level 1 / Level 3 Deltas</w:t>
      </w:r>
    </w:p>
    <w:p>
      <w:pPr>
        <w:pStyle w:val="Author"/>
        <w:rPr/>
      </w:pPr>
      <w:r>
        <w:rPr/>
        <w:t>Cisco Secure Workload — Compliance Mapping Series</w:t>
      </w:r>
    </w:p>
    <w:p>
      <w:pPr>
        <w:pStyle w:val="Date"/>
        <w:rPr/>
      </w:pPr>
      <w:r>
        <w:rPr/>
        <w:t>Version 1.0 (draft — pending SME review)</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80d27917a39c2b7e477541d266e2795bf48523b"/>
      <w:r>
        <w:rPr/>
        <w:t>Cisco Secure Workload — CMMC 2.0 Compliance Mapping</w:t>
      </w:r>
    </w:p>
    <w:p>
      <w:pPr>
        <w:pStyle w:val="Heading2"/>
        <w:rPr/>
      </w:pPr>
      <w:bookmarkStart w:id="1" w:name="how-to-read-this-report"/>
      <w:r>
        <w:rPr/>
        <w:t>How to read this report</w:t>
      </w:r>
    </w:p>
    <w:p>
      <w:pPr>
        <w:pStyle w:val="FirstParagraph"/>
        <w:rPr/>
      </w:pPr>
      <w:r>
        <w:rPr/>
        <w:t xml:space="preserve">This report describes how Cisco Secure Workload (CSW) supports a Defense Industrial Base (DIB) organisation’s posture against </w:t>
      </w:r>
      <w:r>
        <w:rPr>
          <w:b/>
          <w:bCs/>
        </w:rPr>
        <w:t>CMMC 2.0</w:t>
      </w:r>
      <w:r>
        <w:rPr/>
        <w:t xml:space="preserve"> (Cybersecurity Maturity Model Certification). Default depth is written for </w:t>
      </w:r>
      <w:r>
        <w:rPr>
          <w:b/>
          <w:bCs/>
        </w:rPr>
        <w:t>Level 2</w:t>
      </w:r>
      <w:r>
        <w:rPr/>
        <w:t xml:space="preserve"> because that’s where the technical substance — and the bulk of CSW alignment — lives. Level 1 and Level 3 deltas are called out where the work materially changes.</w:t>
      </w:r>
    </w:p>
    <w:p>
      <w:pPr>
        <w:pStyle w:val="BodyText"/>
        <w:rPr/>
      </w:pPr>
      <w:r>
        <w:rPr>
          <w:b/>
          <w:bCs/>
        </w:rPr>
        <w:t>Why CMMC and not just NIST 800-171?</w:t>
      </w:r>
      <w:r>
        <w:rPr/>
        <w:t xml:space="preserve"> CMMC 2.0 doesn’t invent new controls. It is the DoD’s </w:t>
      </w:r>
      <w:r>
        <w:rPr>
          <w:i/>
          <w:iCs/>
        </w:rPr>
        <w:t>certification</w:t>
      </w:r>
      <w:r>
        <w:rPr/>
        <w:t xml:space="preserve"> mechanism that your organisation has implemented the controls already required under DFARS 252.204-7012:</w:t>
      </w:r>
    </w:p>
    <w:p>
      <w:pPr>
        <w:pStyle w:val="Compact"/>
        <w:numPr>
          <w:ilvl w:val="0"/>
          <w:numId w:val="1"/>
        </w:numPr>
        <w:rPr/>
      </w:pPr>
      <w:r>
        <w:rPr>
          <w:b/>
          <w:bCs/>
        </w:rPr>
        <w:t>Level 1 (Foundational, 15 safeguards)</w:t>
      </w:r>
      <w:r>
        <w:rPr/>
        <w:t xml:space="preserve"> — implements FAR 52.204-21. Self-attested annually. Required for FCI.</w:t>
      </w:r>
    </w:p>
    <w:p>
      <w:pPr>
        <w:pStyle w:val="Compact"/>
        <w:numPr>
          <w:ilvl w:val="0"/>
          <w:numId w:val="1"/>
        </w:numPr>
        <w:rPr/>
      </w:pPr>
      <w:r>
        <w:rPr>
          <w:b/>
          <w:bCs/>
        </w:rPr>
        <w:t>Level 2 (Advanced, 110 controls)</w:t>
      </w:r>
      <w:r>
        <w:rPr/>
        <w:t xml:space="preserve"> — implements all 110 controls of NIST SP 800-171 Rev 2. Self-assessed (some contracts) or third-party-assessed via a C3PAO every 3 years. Required for CUI.</w:t>
      </w:r>
    </w:p>
    <w:p>
      <w:pPr>
        <w:pStyle w:val="Compact"/>
        <w:numPr>
          <w:ilvl w:val="0"/>
          <w:numId w:val="1"/>
        </w:numPr>
        <w:rPr/>
      </w:pPr>
      <w:r>
        <w:rPr>
          <w:b/>
          <w:bCs/>
        </w:rPr>
        <w:t>Level 3 (Expert, ~134 controls)</w:t>
      </w:r>
      <w:r>
        <w:rPr/>
        <w:t xml:space="preserve"> — Level 2 plus selected NIST SP 800-172 enhancements. Government-led assessment.</w:t>
      </w:r>
    </w:p>
    <w:p>
      <w:pPr>
        <w:pStyle w:val="FirstParagraph"/>
        <w:rPr/>
      </w:pPr>
      <w:r>
        <w:rPr>
          <w:b/>
          <w:bCs/>
        </w:rPr>
        <w:t>Companion document.</w:t>
      </w:r>
      <w:r>
        <w:rPr/>
        <w:t xml:space="preserve"> The accompanying </w:t>
      </w:r>
      <w:r>
        <w:rPr>
          <w:i/>
          <w:iCs/>
        </w:rPr>
        <w:t>CMMC 2.0 Technical Runbook</w:t>
      </w:r>
      <w:r>
        <w:rPr/>
        <w:t xml:space="preserve"> walks through CUI scope labelling, per-family implementation steps for Level 2, and the Level 1 / Level 3 deltas. Read this report for the audit-narrative view; read the runbook for the deployment view.</w:t>
      </w:r>
    </w:p>
    <w:p>
      <w:pPr>
        <w:pStyle w:val="BodyText"/>
        <w:rPr/>
      </w:pPr>
      <w:r>
        <w:rPr>
          <w:b/>
          <w:bCs/>
        </w:rPr>
        <w:t>Important.</w:t>
      </w:r>
      <w:r>
        <w:rPr/>
        <w:t xml:space="preserve"> CMMC Level 2 assessment is performed by a Certified Third-Party Assessor Organisation (C3PAO). Nothing in this report substitutes for the System Security Plan (SSP), Plan of Action &amp; Milestones (POA&amp;M), or the C3PAO engagement. CSW supplies the technical evidence the assessment depends on; the SSP documents the process around that evidence.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pPr>
      <w:r>
        <w:t>How to read the coverage words</w:t>
      </w:r>
    </w:p>
    <w:p>
      <w:pPr/>
      <w:r>
        <w:rPr>
          <w:b/>
        </w:rPr>
        <w:t>Full Coverage</w:t>
      </w:r>
      <w:r>
        <w:t xml:space="preserve"> on the older reports means Secure Workload can produce that row's artifact. It does not mean the control is met.</w:t>
      </w:r>
    </w:p>
    <w:p>
      <w:pPr/>
      <w:r>
        <w:rPr>
          <w:b/>
        </w:rPr>
        <w:t>Partial Coverage</w:t>
      </w:r>
      <w:r>
        <w:t xml:space="preserve"> means file that export next to another control.</w:t>
      </w:r>
    </w:p>
    <w:p>
      <w:pPr/>
      <w:r>
        <w:rPr>
          <w:b/>
        </w:rPr>
        <w:t>Evidence Required</w:t>
      </w:r>
      <w:r>
        <w:t xml:space="preserve"> means Secure Workload has no record. The customer files the contract, the analysis, or the HR or physical-security evidence.</w:t>
      </w:r>
    </w:p>
    <w:p>
      <w:pPr/>
      <w:r>
        <w:rPr>
          <w:b/>
        </w:rPr>
        <w:t>Direct, Supporting, and Out of scope</w:t>
      </w:r>
      <w:r>
        <w:t xml:space="preserve"> on the newer reports are the same idea in different words. Direct is still evidence, not a pass.</w:t>
      </w:r>
    </w:p>
    <w:p>
      <w:pPr>
        <w:pStyle w:val="Heading2"/>
        <w:rPr/>
      </w:pPr>
      <w:bookmarkStart w:id="2" w:name="executive-summary"/>
      <w:r>
        <w:rPr/>
        <w:t>1. Executive Summary</w:t>
      </w:r>
    </w:p>
    <w:p>
      <w:pPr>
        <w:pStyle w:val="FirstParagraph"/>
        <w:rPr/>
      </w:pPr>
      <w:r>
        <w:rPr/>
        <w:t xml:space="preserve">CMMC 2.0 final rule (DFARS 252.204-7021 / 32 CFR Part 170) became effective December 16, 2024. DoD contracts will phase in CMMC requirements over the subsequent three years. For the bulk of the DIB, the operative target is </w:t>
      </w:r>
      <w:r>
        <w:rPr>
          <w:b/>
          <w:bCs/>
        </w:rPr>
        <w:t>Level 2</w:t>
      </w:r>
      <w:r>
        <w:rPr/>
        <w:t>, which implements all 110 controls of NIST SP 800-171 Rev 2.</w:t>
      </w:r>
    </w:p>
    <w:p>
      <w:pPr>
        <w:pStyle w:val="BodyText"/>
        <w:rPr/>
      </w:pPr>
      <w:r>
        <w:rPr/>
        <w:t>CSW provides direct technical coverage for six of NIST 800-171’s fourteen control families (AC, AU, CM, RA, SC, SI), supports four more (CA, IA, IR evidence, MA), and is explicitly out of scope for four (AT, MP, PE, PS).</w:t>
      </w:r>
    </w:p>
    <w:p>
      <w:pPr>
        <w:pStyle w:val="BodyText"/>
        <w:rPr/>
      </w:pPr>
      <w:r>
        <w:rPr>
          <w:b/>
          <w:bCs/>
        </w:rPr>
        <w:t>What CSW changes for a CMMC Level 2 programme:</w:t>
      </w:r>
    </w:p>
    <w:p>
      <w:pPr>
        <w:pStyle w:val="Compact"/>
        <w:numPr>
          <w:ilvl w:val="0"/>
          <w:numId w:val="1"/>
        </w:numPr>
        <w:rPr/>
      </w:pPr>
      <w:r>
        <w:rPr>
          <w:b/>
          <w:bCs/>
        </w:rPr>
        <w:t>CUI Scope Boundary (foundational).</w:t>
      </w:r>
      <w:r>
        <w:rPr/>
        <w:t xml:space="preserve"> Per-enclave segmentation with deny-by-default at the workload identity layer. Workload labels (</w:t>
      </w:r>
      <w:r>
        <w:rPr>
          <w:rStyle w:val="VerbatimChar"/>
        </w:rPr>
        <w:t>cui_scope</w:t>
      </w:r>
      <w:r>
        <w:rPr/>
        <w:t xml:space="preserve">, </w:t>
      </w:r>
      <w:r>
        <w:rPr>
          <w:rStyle w:val="VerbatimChar"/>
        </w:rPr>
        <w:t>cui_role</w:t>
      </w:r>
      <w:r>
        <w:rPr/>
        <w:t xml:space="preserve">, </w:t>
      </w:r>
      <w:r>
        <w:rPr>
          <w:rStyle w:val="VerbatimChar"/>
        </w:rPr>
        <w:t>contract_id</w:t>
      </w:r>
      <w:r>
        <w:rPr/>
        <w:t xml:space="preserve">, </w:t>
      </w:r>
      <w:r>
        <w:rPr>
          <w:rStyle w:val="VerbatimChar"/>
        </w:rPr>
        <w:t>enclave</w:t>
      </w:r>
      <w:r>
        <w:rPr/>
        <w:t>) make the boundary enforceable and auditable.</w:t>
      </w:r>
    </w:p>
    <w:p>
      <w:pPr>
        <w:pStyle w:val="Compact"/>
        <w:numPr>
          <w:ilvl w:val="0"/>
          <w:numId w:val="1"/>
        </w:numPr>
        <w:rPr/>
      </w:pPr>
      <w:r>
        <w:rPr>
          <w:b/>
          <w:bCs/>
        </w:rPr>
        <w:t>AC family.</w:t>
      </w:r>
      <w:r>
        <w:rPr/>
        <w:t xml:space="preserve"> Workload-level access enforcement (3.1.1), inter-enclave information-flow control (3.1.3), external connection verification (3.1.20), publicly-accessible system inventory (3.1.22).</w:t>
      </w:r>
    </w:p>
    <w:p>
      <w:pPr>
        <w:pStyle w:val="Compact"/>
        <w:numPr>
          <w:ilvl w:val="0"/>
          <w:numId w:val="1"/>
        </w:numPr>
        <w:rPr/>
      </w:pPr>
      <w:r>
        <w:rPr>
          <w:b/>
          <w:bCs/>
        </w:rPr>
        <w:t>AU family.</w:t>
      </w:r>
      <w:r>
        <w:rPr/>
        <w:t xml:space="preserve"> Per-flow + per-process telemetry forwarded to SIEM (3.3.1), action traceability via process attribution + SIEM identity correlation (3.3.2).</w:t>
      </w:r>
    </w:p>
    <w:p>
      <w:pPr>
        <w:pStyle w:val="Compact"/>
        <w:numPr>
          <w:ilvl w:val="0"/>
          <w:numId w:val="1"/>
        </w:numPr>
        <w:rPr/>
      </w:pPr>
      <w:r>
        <w:rPr>
          <w:b/>
          <w:bCs/>
        </w:rPr>
        <w:t>CM family.</w:t>
      </w:r>
      <w:r>
        <w:rPr/>
        <w:t xml:space="preserve"> Daily configuration baseline per workload (3.4.1), drift detection with change-ticket attribution (3.4.3 / 3.4.4), least-functionality review via 90-day-no-flow port reports (3.4.6).</w:t>
      </w:r>
    </w:p>
    <w:p>
      <w:pPr>
        <w:pStyle w:val="Compact"/>
        <w:numPr>
          <w:ilvl w:val="0"/>
          <w:numId w:val="1"/>
        </w:numPr>
        <w:rPr/>
      </w:pPr>
      <w:r>
        <w:rPr>
          <w:b/>
          <w:bCs/>
        </w:rPr>
        <w:t>RA family.</w:t>
      </w:r>
      <w:r>
        <w:rPr/>
        <w:t xml:space="preserve"> Continuous CVE inventory per CUI workload (3.11.2), patch SLA tracking and POA&amp;M linkage (3.11.3), compensating- control register for deferred patches.</w:t>
      </w:r>
    </w:p>
    <w:p>
      <w:pPr>
        <w:pStyle w:val="Compact"/>
        <w:numPr>
          <w:ilvl w:val="0"/>
          <w:numId w:val="1"/>
        </w:numPr>
        <w:rPr/>
      </w:pPr>
      <w:r>
        <w:rPr>
          <w:b/>
          <w:bCs/>
        </w:rPr>
        <w:t>SC family.</w:t>
      </w:r>
      <w:r>
        <w:rPr/>
        <w:t xml:space="preserve"> Per-enclave segmentation with deny-by-default (3.13.1, 3.13.6), public-component scope isolation (3.13.5), ADM-derived as-observed architecture diagrams (3.13.2).</w:t>
      </w:r>
    </w:p>
    <w:p>
      <w:pPr>
        <w:pStyle w:val="Compact"/>
        <w:numPr>
          <w:ilvl w:val="0"/>
          <w:numId w:val="1"/>
        </w:numPr>
        <w:rPr/>
      </w:pPr>
      <w:r>
        <w:rPr>
          <w:b/>
          <w:bCs/>
        </w:rPr>
        <w:t>SI family.</w:t>
      </w:r>
      <w:r>
        <w:rPr/>
        <w:t xml:space="preserve"> Behavioural detection rules (3.14.2, 3.14.6), conversation-graph anomaly detection (3.14.6), threat-intel- enriched CVE prioritisation (3.14.3), unauthorised-use detection (3.14.7).</w:t>
      </w:r>
    </w:p>
    <w:p>
      <w:pPr>
        <w:pStyle w:val="FirstParagraph"/>
        <w:rPr/>
      </w:pPr>
      <w:r>
        <w:rPr>
          <w:b/>
          <w:bCs/>
        </w:rPr>
        <w:t>What CSW does not change.</w:t>
      </w:r>
      <w:r>
        <w:rPr/>
        <w:t xml:space="preserve"> CSW does not author the SSP or POA&amp;M, does not perform the C3PAO assessment, does not address AT (training), MP (media), PE (physical), or PS (personnel). Identity is upstream. CSW is the technical evidence engine the SSP documents around.</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compliance-posture-summary"/>
      <w:r>
        <w:rPr/>
        <w:t>2. Compliance Posture Summary</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Family</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Title</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Coverage</w:t>
            </w:r>
          </w:p>
        </w:tc>
        <w:tc>
          <w:tcPr>
            <w:tcW w:w="2341"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contribution (Level 2)</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AC</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Access Control</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Workload-level enforcement; inter-enclave flow control</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Awareness and Training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 / training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AU</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Audit and Accountability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Per-flow + per-process telemetry to SIEM</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Security Assessment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monitoring evidence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CM</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Configuration Management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Baseline + drift + least-functionality review</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Identification and Authentication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Workload-side enforcement; identity upstream</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IR</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Response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(evidence)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Six-artefact reconstruction bundle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Maintenance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Limited</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MP</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Media Protection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Media-handling process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Protection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Facilities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Personnel Security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Risk Assessment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CVE + reachability + POA&amp;M linkage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System and Communications Protection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Per-enclave boundary + segmentation + deny-by-default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System and Information Integrity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Detection rules + anomaly detection + threat intel</w:t>
            </w:r>
          </w:p>
        </w:tc>
      </w:tr>
    </w:tbl>
    <w:p>
      <w:pPr>
        <w:pStyle w:val="BodyText"/>
        <w:rPr/>
      </w:pPr>
      <w:r>
        <w:rPr>
          <w:b/>
          <w:bCs/>
        </w:rPr>
        <w:t>Posture takeaway.</w:t>
      </w:r>
      <w:r>
        <w:rPr/>
        <w:t xml:space="preserve"> Direct on six of fourteen families (AC, AU, CM, RA, SC, SI), supporting on four (CA, IA, IR evidence, MA), out of scope on four (AT, MP, PE, PS). This is consistent with CSW’s positioning as a workload-protection platform: it does the workload-tier jobs well and explicitly defers identity, media, physical, and personnel scope to the appropriate owners.</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X07078366d94a38e3d85e518300889076433346c"/>
      <w:r>
        <w:rPr/>
        <w:t>3. Mapping Table — CMMC L2 Practice → CSW Capability → Evidence Artefact</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Practice</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Topic</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capability</w:t>
            </w:r>
          </w:p>
        </w:tc>
        <w:tc>
          <w:tcPr>
            <w:tcW w:w="2341"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Evidence artefact (audit-ready)</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AC.L1/L2-3.1.1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Limit system access to authorised users / processes / devices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Workload-level deny-by-default segmentation per enclave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Workspace export per enclave + simulation→enforcement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AC.L1/L2-3.1.2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Limit access to authorised functions / transactions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Allow-list per documented system function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Per-enclave allow-list with rule provenance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AC.L2-3.1.3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Control flow of CUI</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Inter-enclave flow allow-list + reconciliation against SSP</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Inter-enclave flow CSV + delta vs. SSP</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AC.L2-3.1.20</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Verify and control external connections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Egress allowlist + alert on net-new external destinations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Egress allowlist + alert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AC.L2-3.1.22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Control CUI on publicly-accessible systems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Internet-reachability query + scope review</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Internet-exposure inventory</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AU.L2-3.3.1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Create audit records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Per-flow + per-process telemetry to SIEM</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SIEM forwarding configuration + sample audit record</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AU.L2-3.3.2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Action traceability to individual users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Process attribution + SIEM identity correlation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Sample event with process + identity attribution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AU.L2-3.3.4/5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Alert on audit failure; correlate audit data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Forwarder health alert + SIEM correlation rules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Alert configuration + correlation rule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AU.L2-3.3.8</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Protect audit information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SIEM-side immutable storage; CSW RBAC</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SIEM retention configuration + CSW RBAC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AU.L2-3.3.9</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Limit audit-log management functionality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RBAC for audit-management roles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Role definition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CM.L2-3.4.1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Establish configuration baselines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snapshot per workload (OS, packages, ports, processes)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Baseline export per workload</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CM.L2-3.4.2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Establish security configuration settings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(Hardening upstream; CSW verifies via baseline)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Baseline + drift report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CM.L2-3.4.3/4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Track and approve changes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diff + change-ticket attribution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Diff log with disposition column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CM.L2-3.4.6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Employ principle of least functionality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Listening-port + service inventory + 90-day-no-flow review</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least-functionality review</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CM.L2-3.4.7</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Restrict use of nonessential programs / functions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Software allow-list + (L3) behavioural prevention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Allow-list deviation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RA.L2-3.11.2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Scan for vulnerabilities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CVE inventory per CUI workload</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Per-CUI-workload CVE list dated to scan cadence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RA.L2-3.11.3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Remediate vulnerabilities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Patch SLA tracking + compensating-control register + POA&amp;M linkage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Patch SLA trend + compensating-control register + POA&amp;M cross-reference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SC.L2-3.13.1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Boundary protection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Per-enclave segmentation enforcement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Workspace export per enclave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SC.L2-3.13.2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Architectural designs supporting effective security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ADM-derived as-observed architecture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ADM dependency graph per enclave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SC.L2-3.13.5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Subnetworks for publicly-accessible components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Public-component scope isolation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Public-component scope documentation + policy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SC.L2-3.13.6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Deny by default; permit by exception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Workload-level deny-by-default (native CSW posture)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Per-enclave policy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SC.L2-3.13.7</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Prevent split tunneling on remote devices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Detective alert on split-tunnel patterns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Split-tunnel alert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SI.L2-3.14.1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Identify, report, and correct system flaws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inventory + drift + SIEM routing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list + drift log + SIEM forwarding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SI.L2-3.14.2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Provide protection from malicious code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rules layered with endpoint AV</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 catalogue + sample alert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SI.L2-3.14.3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Monitor system security alerts and advisories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Threat-intel-enriched CVE prioritisation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Enrichment configuration + sample enriched CVE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SI.L2-3.14.6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Monitor organisational systems for attacks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Per-workload flow telemetry + behavioural rules + anomaly detection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Detection rule catalogue + anomaly alert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SI.L2-3.14.7</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Identify unauthorised use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Process telemetry + identity-aware policy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Sample unauthorised-use detection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IR.L2-3.6.1/2/3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response process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Six-artefact incident dossier</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Sample dossier per CUI-scope incident</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out-of-scope-and-complementary-controls"/>
      <w:r>
        <w:rPr/>
        <w:t>4. Out-of-Scope and Complementary Controls</w:t>
      </w:r>
    </w:p>
    <w:p>
      <w:pPr>
        <w:pStyle w:val="FirstParagraph"/>
        <w:rPr/>
      </w:pPr>
      <w:r>
        <w:rPr/>
        <w:t xml:space="preserve">CSW does </w:t>
      </w:r>
      <w:r>
        <w:rPr>
          <w:b/>
          <w:bCs/>
        </w:rPr>
        <w:t>not</w:t>
      </w:r>
      <w:r>
        <w:rPr/>
        <w:t xml:space="preserve"> address the following families / practices; reference the noted complementary controls.</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Family / Practice</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Owner</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Complementary control</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AT — Awareness and Training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 + Security training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LMS + phishing simulation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IA — Identification and Authentication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Identity / PAM team</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AD/LDAP, PAM (CyberArk, BeyondTrust), MFA</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 — Maintenance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Operations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Maintenance procedures and approval process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MP — Media Protection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Operations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Media-handling, sanitisation, transport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 — Physical Protection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Facilities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PSP enclosure, badge access, visitor escort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PS — Personnel Security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Background investigation, screening, termination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AT.L2-3.2.x training-related practices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 + Security training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LMS + role-based training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IA.L2-3.5.x credential management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Identity / PAM team</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Credential vault, MFA enforcement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SC.L2-3.13.16 protect CUI confidentiality at rest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Crypto / Storage SME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Encryption-at-rest configuration</w:t>
            </w:r>
          </w:p>
        </w:tc>
      </w:tr>
    </w:tbl>
    <w:p>
      <w:pPr>
        <w:pStyle w:val="BodyText"/>
        <w:rPr/>
      </w:pPr>
      <w:r>
        <w:rPr/>
        <w:t>CSW’s role in a complete CMMC programme is the workload-tier evidence engine for the technical families. The SSP and POA&amp;M document the process around that evidence; identity, media, physical, and personnel are explicitly upstream.</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suggested-next-steps"/>
      <w:r>
        <w:rPr/>
        <w:t>5. Suggested Next Steps</w:t>
      </w:r>
    </w:p>
    <w:p>
      <w:pPr>
        <w:pStyle w:val="FirstParagraph"/>
        <w:rPr/>
      </w:pPr>
      <w:r>
        <w:rPr/>
        <w:t>For DIB organisations targeting CMMC Level 2 with CSW:</w:t>
      </w:r>
    </w:p>
    <w:p>
      <w:pPr>
        <w:pStyle w:val="Compact"/>
        <w:numPr>
          <w:ilvl w:val="0"/>
          <w:numId w:val="6"/>
        </w:numPr>
        <w:rPr/>
      </w:pPr>
      <w:r>
        <w:rPr>
          <w:b/>
          <w:bCs/>
        </w:rPr>
        <w:t>Confirm CUI scope first.</w:t>
      </w:r>
      <w:r>
        <w:rPr/>
        <w:t xml:space="preserve"> The CUI scope determination is the single most consequential decision in a CMMC engagement. The wider the scope, the larger the assessment. Get the CUI-handling owner to sign off the scope before deploying CSW labels.</w:t>
      </w:r>
    </w:p>
    <w:p>
      <w:pPr>
        <w:pStyle w:val="Compact"/>
        <w:numPr>
          <w:ilvl w:val="0"/>
          <w:numId w:val="3"/>
        </w:numPr>
        <w:rPr/>
      </w:pPr>
      <w:r>
        <w:rPr>
          <w:b/>
          <w:bCs/>
        </w:rPr>
        <w:t>Pilot on the AC + SC families.</w:t>
      </w:r>
      <w:r>
        <w:rPr/>
        <w:t xml:space="preserve"> Workload-level segmentation per enclave is the foundation everything else builds on. The simulation→enforcement workflow gives you weeks to refine without breaking systems.</w:t>
      </w:r>
    </w:p>
    <w:p>
      <w:pPr>
        <w:pStyle w:val="Compact"/>
        <w:numPr>
          <w:ilvl w:val="0"/>
          <w:numId w:val="3"/>
        </w:numPr>
        <w:rPr/>
      </w:pPr>
      <w:r>
        <w:rPr>
          <w:b/>
          <w:bCs/>
        </w:rPr>
        <w:t>Wire CSW telemetry into the SIEM you already have.</w:t>
      </w:r>
      <w:r>
        <w:rPr/>
        <w:t xml:space="preserve"> AU.L2- 3.3.1 / 3.3.2 expect logs in your SIEM with action traceability. CSW supplies the workload-tier feed; the SIEM is where correlation and retention live.</w:t>
      </w:r>
    </w:p>
    <w:p>
      <w:pPr>
        <w:pStyle w:val="Compact"/>
        <w:numPr>
          <w:ilvl w:val="0"/>
          <w:numId w:val="3"/>
        </w:numPr>
        <w:rPr/>
      </w:pPr>
      <w:r>
        <w:rPr>
          <w:b/>
          <w:bCs/>
        </w:rPr>
        <w:t>Tie drift detection to your change-management ticketing day one.</w:t>
      </w:r>
      <w:r>
        <w:rPr/>
        <w:t xml:space="preserve"> CM.L2-3.4.3 / 3.4.4 expect change tracking; orphan changes (CSW-detected, ticket-absent) become unauthorised-change candidates that the C3PAO will ask about.</w:t>
      </w:r>
    </w:p>
    <w:p>
      <w:pPr>
        <w:pStyle w:val="Compact"/>
        <w:numPr>
          <w:ilvl w:val="0"/>
          <w:numId w:val="3"/>
        </w:numPr>
        <w:rPr/>
      </w:pPr>
      <w:r>
        <w:rPr>
          <w:b/>
          <w:bCs/>
        </w:rPr>
        <w:t>Link CSW vuln IDs to POA&amp;M items.</w:t>
      </w:r>
      <w:r>
        <w:rPr/>
        <w:t xml:space="preserve"> RA.L2-3.11.3 expects a tracked remediation programme; the POA&amp;M is the artefact. CSW produces the per-workload CVE feed; cross-reference into POA&amp;M so the assessment trail is contiguous.</w:t>
      </w:r>
    </w:p>
    <w:p>
      <w:pPr>
        <w:pStyle w:val="Compact"/>
        <w:numPr>
          <w:ilvl w:val="0"/>
          <w:numId w:val="3"/>
        </w:numPr>
        <w:rPr/>
      </w:pPr>
      <w:r>
        <w:rPr>
          <w:b/>
          <w:bCs/>
        </w:rPr>
        <w:t>Build the SSP appendix once.</w:t>
      </w:r>
      <w:r>
        <w:rPr/>
        <w:t xml:space="preserve"> The SSP describes how each practice is implemented; CSW evidence (workspace exports, baseline exports, CVE lists, dossier templates) sits in the appendix referenced from each practice section. Build the appendix structure once and refresh per cycle.</w:t>
      </w:r>
    </w:p>
    <w:p>
      <w:pPr>
        <w:pStyle w:val="Compact"/>
        <w:numPr>
          <w:ilvl w:val="0"/>
          <w:numId w:val="3"/>
        </w:numPr>
        <w:rPr/>
      </w:pPr>
      <w:r>
        <w:rPr>
          <w:b/>
          <w:bCs/>
        </w:rPr>
        <w:t>Plan SME review.</w:t>
      </w:r>
      <w:r>
        <w:rPr/>
        <w:t xml:space="preserve"> This document is a v1 mapping. Before being relied upon in a formal C3PAO engagement, route to a CMMC Registered Practitioner Organisation (RPO) for assessment guidance currency and to a current Cisco Secure Workload SE for product-capability accuracy.</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disclaimer"/>
      <w:r>
        <w:rPr/>
        <w:t>6. Disclaimer</w:t>
      </w:r>
    </w:p>
    <w:p>
      <w:pPr>
        <w:pStyle w:val="FirstParagraph"/>
        <w:rPr/>
      </w:pPr>
      <w:r>
        <w:rPr/>
        <w:t xml:space="preserve">This report and its companion runbook describe how Cisco Secure Workload capabilities can support a CMMC 2.0 programme at Level 2 (with Level 1 and Level 3 deltas). They are </w:t>
      </w:r>
      <w:r>
        <w:rPr>
          <w:b/>
          <w:bCs/>
        </w:rPr>
        <w:t>not</w:t>
      </w:r>
      <w:r>
        <w:rPr/>
        <w:t xml:space="preserve"> legal or compliance advice and do not constitute a finding of compliance.</w:t>
      </w:r>
    </w:p>
    <w:p>
      <w:pPr>
        <w:pStyle w:val="BodyText"/>
        <w:rPr/>
      </w:pPr>
      <w:r>
        <w:rPr/>
        <w:t>Specifically:</w:t>
      </w:r>
    </w:p>
    <w:p>
      <w:pPr>
        <w:pStyle w:val="Compact"/>
        <w:numPr>
          <w:ilvl w:val="0"/>
          <w:numId w:val="1"/>
        </w:numPr>
        <w:rPr/>
      </w:pPr>
      <w:r>
        <w:rPr/>
        <w:t xml:space="preserve">The DoD publishes the authoritative CMMC 2.0 text at https://dodcio.defense.gov/CMMC/. The DCMA Defense Industrial Base Cybersecurity Assessment Center (DIBCAC) and the Cyber AB publish authoritative assessment guidance. Always validate against the </w:t>
      </w:r>
      <w:r>
        <w:rPr>
          <w:b/>
          <w:bCs/>
        </w:rPr>
        <w:t>current effective rule</w:t>
      </w:r>
      <w:r>
        <w:rPr/>
        <w:t xml:space="preserve"> (DFARS 252.204-7021 / 32 CFR Part 170) and against any DoD class deviations.</w:t>
      </w:r>
    </w:p>
    <w:p>
      <w:pPr>
        <w:pStyle w:val="Compact"/>
        <w:numPr>
          <w:ilvl w:val="0"/>
          <w:numId w:val="1"/>
        </w:numPr>
        <w:rPr/>
      </w:pPr>
      <w:r>
        <w:rPr/>
        <w:t>CMMC Level 2 assessment is performed by a Certified Third-Party Assessor Organisation (C3PAO) or, for limited contracts, by self-assessment. Nothing in this document substitutes for the SSP, POA&amp;M, or the C3PAO engagement.</w:t>
      </w:r>
    </w:p>
    <w:p>
      <w:pPr>
        <w:pStyle w:val="Compact"/>
        <w:numPr>
          <w:ilvl w:val="0"/>
          <w:numId w:val="1"/>
        </w:numPr>
        <w:rPr/>
      </w:pPr>
      <w:r>
        <w:rPr/>
        <w:t>Mapping a CSW capability to a 800-171 practice does not by itself satisfy the practice. The C3PAO will look for documented process, evidence cadence, and management review behind the technical implementation.</w:t>
      </w:r>
    </w:p>
    <w:p>
      <w:pPr>
        <w:pStyle w:val="Compact"/>
        <w:numPr>
          <w:ilvl w:val="0"/>
          <w:numId w:val="1"/>
        </w:numPr>
        <w:rPr/>
      </w:pPr>
      <w:r>
        <w:rPr/>
        <w:t>CSW does not address AT, MP, PE, or PS families. Reference your HR, media-handling, physical-protection, and personnel-security programmes for those.</w:t>
      </w:r>
    </w:p>
    <w:p>
      <w:pPr>
        <w:pStyle w:val="FirstParagraph"/>
        <w:spacing w:before="180" w:after="180"/>
        <w:rPr/>
      </w:pPr>
      <w:r>
        <w:rPr/>
        <w:t>This document should receive subject-matter-expert review for both CMMC 2.0 currency and current Cisco product capability before being used in a customer engagement.</w:t>
      </w:r>
      <w:bookmarkEnd w:id="0"/>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LibreOffice/26.2.3.2$MacOSX_X86_64 LibreOffice_project/70e089b17412e4cb7773e41413306b17a2328c34</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2026-05-02T02:07:33Z</dcterms:created>
  <dc:creator>Cisco Secure Workload — Compliance Mapping Series</dc:creator>
  <dc:description/>
  <dc:language>en-US</dc:language>
  <cp:lastModifiedBy/>
  <dcterms:modified xsi:type="dcterms:W3CDTF">2026-05-02T02:07:33Z</dcterms:modified>
  <cp:revision>0</cp:revision>
  <dc:subject/>
  <dc:title>CMMC 2.0 — Compliance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(draft — pending SME review)</vt:lpwstr>
  </property>
  <property fmtid="{D5CDD505-2E9C-101B-9397-08002B2CF9AE}" pid="3" name="subtitle">
    <vt:lpwstr>Cisco Secure Workload | Level 2 Lead with Level 1 / Level 3 Deltas</vt:lpwstr>
  </property>
</Properties>
</file>