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COBIT 2019 Compliance Report</w:t>
      </w:r>
    </w:p>
    <w:bookmarkStart w:id="22" w:name="X7f50ce06e6d52ad008b51243c81cdd4a651adb3"/>
    <w:p>
      <w:pPr>
        <w:pStyle w:val="Heading1"/>
      </w:pPr>
      <w:r>
        <w:t xml:space="preserve">Cisco Secure Workload - COBIT 2019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ISACA COBIT 2019 - Framework for the Governance and Management of Enterprise IT</w:t>
      </w:r>
      <w:r>
        <w:br/>
      </w:r>
      <w:r>
        <w:rPr>
          <w:b/>
          <w:bCs/>
        </w:rPr>
        <w:t xml:space="preserve">Primary audience:</w:t>
      </w:r>
      <w:r>
        <w:t xml:space="preserve"> </w:t>
      </w:r>
      <w:r>
        <w:t xml:space="preserve">IT governance, internal audit, risk management, and assurance teams using COBIT 2019 as the governance and management framework.</w:t>
      </w:r>
      <w:r>
        <w:br/>
      </w:r>
      <w:r>
        <w:rPr>
          <w:b/>
          <w:bCs/>
        </w:rPr>
        <w:t xml:space="preserve">CSW positioning:</w:t>
      </w:r>
      <w:r>
        <w:t xml:space="preserve"> </w:t>
      </w:r>
      <w:r>
        <w:t xml:space="preserve">Workload-level evidence inputs to COBIT objectives where the practice is technical: DSS05 (security services), APO13 (managed security), MEA01 (performance and conformance monitoring), and BAI06 / BAI10 (change and configuration evidence).</w:t>
      </w:r>
    </w:p>
    <w:p>
      <w:r>
        <w:pict>
          <v:rect style="width:0;height:1.5pt" o:hralign="center" o:hrstd="t" o:hr="t"/>
        </w:pict>
      </w:r>
    </w:p>
    <w:bookmarkEnd w:id="9"/>
    <w:bookmarkStart w:id="10" w:name="framework-version-note"/>
    <w:p>
      <w:pPr>
        <w:pStyle w:val="Heading2"/>
      </w:pPr>
      <w:r>
        <w:t xml:space="preserve">Framework Version Note</w:t>
      </w:r>
    </w:p>
    <w:p>
      <w:pPr>
        <w:pStyle w:val="FirstParagraph"/>
      </w:pPr>
      <w:r>
        <w:t xml:space="preserve">References COBIT 2019. Objective codes (e.g. APO13 Managed Security, DSS05 Managed Security Services, MEA01 Managed Performance and Conformance Monitoring, BAI06 Managed IT Changes) are stable in COBIT 2019. Validate scope tailoring against the customer’s design factors and goals cascade.</w:t>
      </w:r>
    </w:p>
    <w:bookmarkEnd w:id="10"/>
    <w:bookmarkStart w:id="11" w:name="csw-ui-navigation-note"/>
    <w:p>
      <w:pPr>
        <w:pStyle w:val="Heading2"/>
      </w:pPr>
      <w:r>
        <w:t xml:space="preserve">CSW UI Navigation Note</w:t>
      </w:r>
    </w:p>
    <w:p>
      <w:pPr>
        <w:pStyle w:val="FirstParagraph"/>
      </w:pPr>
      <w:r>
        <w:t xml:space="preserve">Cisco does not yet publish framework-specific CSW UI navigation for this standard; framework-specific navigation is on the product roadmap. This report references CSW</w:t>
      </w:r>
      <w:r>
        <w:t xml:space="preserve"> </w:t>
      </w:r>
      <w:r>
        <w:rPr>
          <w:i/>
          <w:iCs/>
        </w:rPr>
        <w:t xml:space="preserve">capabilities</w:t>
      </w:r>
      <w:r>
        <w:t xml:space="preserve"> </w:t>
      </w:r>
      <w:r>
        <w:t xml:space="preserve">and the</w:t>
      </w:r>
      <w:r>
        <w:t xml:space="preserve"> </w:t>
      </w:r>
      <w:r>
        <w:rPr>
          <w:i/>
          <w:iCs/>
        </w:rPr>
        <w:t xml:space="preserve">evidence artifacts</w:t>
      </w:r>
      <w:r>
        <w:t xml:space="preserve"> </w:t>
      </w:r>
      <w:r>
        <w:t xml:space="preserve">they produce. The technical runbook (</w:t>
      </w:r>
      <w:r>
        <w:rPr>
          <w:rStyle w:val="VerbatimChar"/>
        </w:rPr>
        <w:t xml:space="preserve">CSW-COBIT-2019-Technical-Runbook.md</w:t>
      </w:r>
      <w:r>
        <w:t xml:space="preserve">) in this folder contains the deeper engineering detail.</w:t>
      </w:r>
    </w:p>
    <w:p>
      <w:r>
        <w:pict>
          <v:rect style="width:0;height:1.5pt" o:hralign="center" o:hrstd="t" o:hr="t"/>
        </w:pict>
      </w:r>
    </w:p>
    <w:bookmarkEnd w:id="11"/>
    <w:bookmarkStart w:id="12" w:name="executive-summary"/>
    <w:p>
      <w:pPr>
        <w:pStyle w:val="Heading2"/>
      </w:pPr>
      <w:r>
        <w:t>How to read the coverage words</w:t>
      </w:r>
    </w:p>
    <w:p>
      <w:pPr/>
      <w:r>
        <w:rPr>
          <w:b/>
        </w:rPr>
        <w:t>Full Coverage</w:t>
      </w:r>
      <w:r>
        <w:t xml:space="preserve"> on the older reports means Secure Workload can produce that row's artifact. It does not mean the control is met.</w:t>
      </w:r>
    </w:p>
    <w:p>
      <w:pPr/>
      <w:r>
        <w:rPr>
          <w:b/>
        </w:rPr>
        <w:t>Partial Coverage</w:t>
      </w:r>
      <w:r>
        <w:t xml:space="preserve"> means file that export next to another control.</w:t>
      </w:r>
    </w:p>
    <w:p>
      <w:pPr/>
      <w:r>
        <w:rPr>
          <w:b/>
        </w:rPr>
        <w:t>Evidence Required</w:t>
      </w:r>
      <w:r>
        <w:t xml:space="preserve"> means Secure Workload has no record. The customer files the contract, the analysis, or the HR or physical-security evidence.</w:t>
      </w:r>
    </w:p>
    <w:p>
      <w:pPr/>
      <w:r>
        <w:rPr>
          <w:b/>
        </w:rPr>
        <w:t>Direct, Supporting, and Out of scope</w:t>
      </w:r>
      <w:r>
        <w:t xml:space="preserve"> on the newer reports are the same idea in different words. Direct is still evidence, not a pass.</w:t>
      </w:r>
    </w:p>
    <w:p>
      <w:pPr>
        <w:pStyle w:val="Heading2"/>
      </w:pPr>
      <w:r>
        <w:t xml:space="preserve">Executive Summary</w:t>
      </w:r>
    </w:p>
    <w:p>
      <w:pPr>
        <w:pStyle w:val="FirstParagraph"/>
      </w:pPr>
      <w:r>
        <w:t xml:space="preserve">Cisco Secure Workload (CSW) supports a defined subset of this framework. The strongest customer story is not that CSW</w:t>
      </w:r>
      <w:r>
        <w:t xml:space="preserve"> </w:t>
      </w:r>
      <w:r>
        <w:t xml:space="preserve">“certifies”</w:t>
      </w:r>
      <w:r>
        <w:t xml:space="preserve"> </w:t>
      </w:r>
      <w:r>
        <w:t xml:space="preserve">compliance; it is that CSW turns workload communication and inventory into evidence that the customer, the customer’s compliance team, and the customer’s assessor can review. This report describes which framework topics CSW supports, which it does not, what evidence artifacts CSW produces, and how often the customer should collect them. CSW does</w:t>
      </w:r>
      <w:r>
        <w:t xml:space="preserve"> </w:t>
      </w:r>
      <w:r>
        <w:rPr>
          <w:b/>
          <w:bCs/>
        </w:rPr>
        <w:t xml:space="preserve">not</w:t>
      </w:r>
      <w:r>
        <w:t xml:space="preserve"> </w:t>
      </w:r>
      <w:r>
        <w:t xml:space="preserve">replace the customer’s governance, policy, or assessor judgement, and this report is</w:t>
      </w:r>
      <w:r>
        <w:t xml:space="preserve"> </w:t>
      </w:r>
      <w:r>
        <w:rPr>
          <w:b/>
          <w:bCs/>
        </w:rPr>
        <w:t xml:space="preserve">not</w:t>
      </w:r>
      <w:r>
        <w:t xml:space="preserve"> </w:t>
      </w:r>
      <w:r>
        <w:t xml:space="preserve">a control attestation.</w:t>
      </w:r>
    </w:p>
    <w:bookmarkEnd w:id="12"/>
    <w:bookmarkStart w:id="13" w:name="suggested-csw-scope-pattern"/>
    <w:p>
      <w:pPr>
        <w:pStyle w:val="Heading2"/>
      </w:pPr>
      <w:r>
        <w:t xml:space="preserve">Suggested CSW Scope Pattern</w:t>
      </w:r>
    </w:p>
    <w:p>
      <w:pPr>
        <w:pStyle w:val="SourceCode"/>
      </w:pPr>
      <w:r>
        <w:rPr>
          <w:rStyle w:val="VerbatimChar"/>
        </w:rPr>
        <w:t xml:space="preserve">COBIT-2019</w:t>
      </w:r>
      <w:r>
        <w:br/>
      </w:r>
      <w:r>
        <w:rPr>
          <w:rStyle w:val="VerbatimChar"/>
        </w:rPr>
        <w:t xml:space="preserve">(no fixed scope tree; COBIT objective evidence is mapped across whichever CSW-instrumented scopes are in audit scope)</w:t>
      </w:r>
    </w:p>
    <w:p>
      <w:pPr>
        <w:pStyle w:val="FirstParagraph"/>
      </w:pPr>
      <w:r>
        <w:t xml:space="preserve">This scope pattern should be validated with the customer’s architecture, application owners, compliance team, and assessor before it is used for formal evidence.</w:t>
      </w:r>
    </w:p>
    <w:bookmarkEnd w:id="13"/>
    <w:bookmarkStart w:id="14" w:name="in-scope-for-csw-evidence"/>
    <w:p>
      <w:pPr>
        <w:pStyle w:val="Heading2"/>
      </w:pPr>
      <w:r>
        <w:t xml:space="preserve">In Scope for CSW Evidence</w:t>
      </w:r>
    </w:p>
    <w:p>
      <w:pPr>
        <w:pStyle w:val="Compact"/>
        <w:numPr>
          <w:ilvl w:val="0"/>
          <w:numId w:val="1001"/>
        </w:numPr>
      </w:pPr>
      <w:r>
        <w:t xml:space="preserve">DSS05.02 - Manage network and connectivity security (workload segmentation and policy enforcement)</w:t>
      </w:r>
    </w:p>
    <w:p>
      <w:pPr>
        <w:pStyle w:val="Compact"/>
        <w:numPr>
          <w:ilvl w:val="0"/>
          <w:numId w:val="1001"/>
        </w:numPr>
      </w:pPr>
      <w:r>
        <w:t xml:space="preserve">DSS05.03 - Manage endpoint security (workload-level allowlist input)</w:t>
      </w:r>
    </w:p>
    <w:p>
      <w:pPr>
        <w:pStyle w:val="Compact"/>
        <w:numPr>
          <w:ilvl w:val="0"/>
          <w:numId w:val="1001"/>
        </w:numPr>
      </w:pPr>
      <w:r>
        <w:t xml:space="preserve">DSS05.07 - Manage vulnerabilities (reachability-weighted CVE)</w:t>
      </w:r>
    </w:p>
    <w:p>
      <w:pPr>
        <w:pStyle w:val="Compact"/>
        <w:numPr>
          <w:ilvl w:val="0"/>
          <w:numId w:val="1001"/>
        </w:numPr>
      </w:pPr>
      <w:r>
        <w:t xml:space="preserve">APO13.01 - Establish and maintain an information security management system (workload-level inputs)</w:t>
      </w:r>
    </w:p>
    <w:p>
      <w:pPr>
        <w:pStyle w:val="Compact"/>
        <w:numPr>
          <w:ilvl w:val="0"/>
          <w:numId w:val="1001"/>
        </w:numPr>
      </w:pPr>
      <w:r>
        <w:t xml:space="preserve">MEA01.04 / MEA01.05 - Performance and conformance monitoring (continuous evidence)</w:t>
      </w:r>
    </w:p>
    <w:p>
      <w:pPr>
        <w:pStyle w:val="Compact"/>
        <w:numPr>
          <w:ilvl w:val="0"/>
          <w:numId w:val="1001"/>
        </w:numPr>
      </w:pPr>
      <w:r>
        <w:t xml:space="preserve">BAI06.01 - Evaluate, prioritise, and authorise change requests (workspace change log)</w:t>
      </w:r>
    </w:p>
    <w:p>
      <w:pPr>
        <w:pStyle w:val="Compact"/>
        <w:numPr>
          <w:ilvl w:val="0"/>
          <w:numId w:val="1001"/>
        </w:numPr>
      </w:pPr>
      <w:r>
        <w:t xml:space="preserve">BAI10.01 - Establish and maintain a configuration model (workspace baseline)</w:t>
      </w:r>
    </w:p>
    <w:bookmarkEnd w:id="14"/>
    <w:bookmarkStart w:id="15" w:name="Xaed999129ed4b1f11f99b5af2968248bad86dd6"/>
    <w:p>
      <w:pPr>
        <w:pStyle w:val="Heading2"/>
      </w:pPr>
      <w:r>
        <w:t xml:space="preserve">Out of Scope (Must Be Evidenced by Other Controls / Tools / Processes)</w:t>
      </w:r>
    </w:p>
    <w:p>
      <w:pPr>
        <w:pStyle w:val="Compact"/>
        <w:numPr>
          <w:ilvl w:val="0"/>
          <w:numId w:val="1002"/>
        </w:numPr>
      </w:pPr>
      <w:r>
        <w:t xml:space="preserve">Governance objectives (EDM family)</w:t>
      </w:r>
    </w:p>
    <w:p>
      <w:pPr>
        <w:pStyle w:val="Compact"/>
        <w:numPr>
          <w:ilvl w:val="0"/>
          <w:numId w:val="1002"/>
        </w:numPr>
      </w:pPr>
      <w:r>
        <w:t xml:space="preserve">APO01-12 (organisational alignment, enterprise architecture, portfolio, financials, HR, relationships, service agreements, suppliers, quality, risk, security beyond technical, data, projects)</w:t>
      </w:r>
    </w:p>
    <w:p>
      <w:pPr>
        <w:pStyle w:val="Compact"/>
        <w:numPr>
          <w:ilvl w:val="0"/>
          <w:numId w:val="1002"/>
        </w:numPr>
      </w:pPr>
      <w:r>
        <w:t xml:space="preserve">BAI01-05 / BAI07-09 / BAI11 (organisational change, requirements definition, identification of solutions, availability, capacity, ITSM, organisational change enablement, knowledge, assets)</w:t>
      </w:r>
    </w:p>
    <w:p>
      <w:pPr>
        <w:pStyle w:val="Compact"/>
        <w:numPr>
          <w:ilvl w:val="0"/>
          <w:numId w:val="1002"/>
        </w:numPr>
      </w:pPr>
      <w:r>
        <w:t xml:space="preserve">DSS01 / DSS03 / DSS04 / DSS06 (managed operations, problems, continuity, business process controls)</w:t>
      </w:r>
    </w:p>
    <w:p>
      <w:pPr>
        <w:pStyle w:val="Compact"/>
        <w:numPr>
          <w:ilvl w:val="0"/>
          <w:numId w:val="1002"/>
        </w:numPr>
      </w:pPr>
      <w:r>
        <w:t xml:space="preserve">MEA02-04 (system of internal control, compliance with external requirements, assurance)</w:t>
      </w:r>
    </w:p>
    <w:bookmarkEnd w:id="15"/>
    <w:bookmarkStart w:id="16" w:name="framework-topic-csw-capability-map"/>
    <w:p>
      <w:pPr>
        <w:pStyle w:val="Heading2"/>
      </w:pPr>
      <w:r>
        <w:t xml:space="preserve">Framework Topic → CSW Capability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Framework topic</w:t>
            </w:r>
          </w:p>
        </w:tc>
        <w:tc>
          <w:tcPr/>
          <w:p>
            <w:pPr>
              <w:pStyle w:val="Compact"/>
            </w:pPr>
            <w:r>
              <w:t xml:space="preserve">CSW capability</w:t>
            </w:r>
          </w:p>
        </w:tc>
        <w:tc>
          <w:tcPr/>
          <w:p>
            <w:pPr>
              <w:pStyle w:val="Compact"/>
            </w:pPr>
            <w:r>
              <w:t xml:space="preserve">Evidence artifact</w:t>
            </w:r>
          </w:p>
        </w:tc>
      </w:tr>
      <w:tr>
        <w:tc>
          <w:tcPr/>
          <w:p>
            <w:pPr>
              <w:pStyle w:val="Compact"/>
            </w:pPr>
            <w:r>
              <w:t xml:space="preserve">DSS05.02 - Network and connectivity security</w:t>
            </w:r>
          </w:p>
        </w:tc>
        <w:tc>
          <w:tcPr/>
          <w:p>
            <w:pPr>
              <w:pStyle w:val="Compact"/>
            </w:pPr>
            <w:r>
              <w:t xml:space="preserve">Policy workspace + workload-to-workload allowlist</w:t>
            </w:r>
          </w:p>
        </w:tc>
        <w:tc>
          <w:tcPr/>
          <w:p>
            <w:pPr>
              <w:pStyle w:val="Compact"/>
            </w:pPr>
            <w:r>
              <w:t xml:space="preserve">Workspace snapshot + observed-vs-approved flow comparison</w:t>
            </w:r>
          </w:p>
        </w:tc>
      </w:tr>
      <w:tr>
        <w:tc>
          <w:tcPr/>
          <w:p>
            <w:pPr>
              <w:pStyle w:val="Compact"/>
            </w:pPr>
            <w:r>
              <w:t xml:space="preserve">DSS05.07 - Vulnerability management</w:t>
            </w:r>
          </w:p>
        </w:tc>
        <w:tc>
          <w:tcPr/>
          <w:p>
            <w:pPr>
              <w:pStyle w:val="Compact"/>
            </w:pPr>
            <w:r>
              <w:t xml:space="preserve">Reachability-weighted CVE evidence</w:t>
            </w:r>
          </w:p>
        </w:tc>
        <w:tc>
          <w:tcPr/>
          <w:p>
            <w:pPr>
              <w:pStyle w:val="Compact"/>
            </w:pPr>
            <w:r>
              <w:t xml:space="preserve">Prioritised remediation list</w:t>
            </w:r>
          </w:p>
        </w:tc>
      </w:tr>
      <w:tr>
        <w:tc>
          <w:tcPr/>
          <w:p>
            <w:pPr>
              <w:pStyle w:val="Compact"/>
            </w:pPr>
            <w:r>
              <w:t xml:space="preserve">APO13 - Managed security (technical inputs)</w:t>
            </w:r>
          </w:p>
        </w:tc>
        <w:tc>
          <w:tcPr/>
          <w:p>
            <w:pPr>
              <w:pStyle w:val="Compact"/>
            </w:pPr>
            <w:r>
              <w:t xml:space="preserve">Continuous workload telemetry + periodic evidence pack</w:t>
            </w:r>
          </w:p>
        </w:tc>
        <w:tc>
          <w:tcPr/>
          <w:p>
            <w:pPr>
              <w:pStyle w:val="Compact"/>
            </w:pPr>
            <w:r>
              <w:t xml:space="preserve">Quarterly evidence bundle</w:t>
            </w:r>
          </w:p>
        </w:tc>
      </w:tr>
      <w:tr>
        <w:tc>
          <w:tcPr/>
          <w:p>
            <w:pPr>
              <w:pStyle w:val="Compact"/>
            </w:pPr>
            <w:r>
              <w:t xml:space="preserve">MEA01.04 - Performance and conformance monitoring</w:t>
            </w:r>
          </w:p>
        </w:tc>
        <w:tc>
          <w:tcPr/>
          <w:p>
            <w:pPr>
              <w:pStyle w:val="Compact"/>
            </w:pPr>
            <w:r>
              <w:t xml:space="preserve">Policy-violation log; drift evidence</w:t>
            </w:r>
          </w:p>
        </w:tc>
        <w:tc>
          <w:tcPr/>
          <w:p>
            <w:pPr>
              <w:pStyle w:val="Compact"/>
            </w:pPr>
            <w:r>
              <w:t xml:space="preserve">Continuous evidence (replaces point-in-time samples)</w:t>
            </w:r>
          </w:p>
        </w:tc>
      </w:tr>
      <w:tr>
        <w:tc>
          <w:tcPr/>
          <w:p>
            <w:pPr>
              <w:pStyle w:val="Compact"/>
            </w:pPr>
            <w:r>
              <w:t xml:space="preserve">BAI06 - Managed changes</w:t>
            </w:r>
          </w:p>
        </w:tc>
        <w:tc>
          <w:tcPr/>
          <w:p>
            <w:pPr>
              <w:pStyle w:val="Compact"/>
            </w:pPr>
            <w:r>
              <w:t xml:space="preserve">Workspace change log (snapshots before/after each change)</w:t>
            </w:r>
          </w:p>
        </w:tc>
        <w:tc>
          <w:tcPr/>
          <w:p>
            <w:pPr>
              <w:pStyle w:val="Compact"/>
            </w:pPr>
            <w:r>
              <w:t xml:space="preserve">Change-controlled policy workspace export</w:t>
            </w:r>
          </w:p>
        </w:tc>
      </w:tr>
      <w:tr>
        <w:tc>
          <w:tcPr/>
          <w:p>
            <w:pPr>
              <w:pStyle w:val="Compact"/>
            </w:pPr>
            <w:r>
              <w:t xml:space="preserve">BAI10 - Managed configuration</w:t>
            </w:r>
          </w:p>
        </w:tc>
        <w:tc>
          <w:tcPr/>
          <w:p>
            <w:pPr>
              <w:pStyle w:val="Compact"/>
            </w:pPr>
            <w:r>
              <w:t xml:space="preserve">Workspace baseline snapshots</w:t>
            </w:r>
          </w:p>
        </w:tc>
        <w:tc>
          <w:tcPr/>
          <w:p>
            <w:pPr>
              <w:pStyle w:val="Compact"/>
            </w:pPr>
            <w:r>
              <w:t xml:space="preserve">Baseline configuration evidence</w:t>
            </w:r>
          </w:p>
        </w:tc>
      </w:tr>
    </w:tbl>
    <w:bookmarkEnd w:id="16"/>
    <w:bookmarkStart w:id="17" w:name="evidence-collection-approach"/>
    <w:p>
      <w:pPr>
        <w:pStyle w:val="Heading2"/>
      </w:pPr>
      <w:r>
        <w:t xml:space="preserve">Evidence Collection Approach</w:t>
      </w:r>
    </w:p>
    <w:p>
      <w:pPr>
        <w:pStyle w:val="FirstParagraph"/>
      </w:pPr>
      <w:r>
        <w:t xml:space="preserve">The table below describes per-topic evidence collection - what to collect, the CSW source area, and a suggested cadence. The cadence should be tuned to the customer’s audit cycle, regulatory cadence, and risk appetite.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Topic</w:t>
            </w:r>
          </w:p>
        </w:tc>
        <w:tc>
          <w:tcPr/>
          <w:p>
            <w:pPr>
              <w:pStyle w:val="Compact"/>
            </w:pPr>
            <w:r>
              <w:t xml:space="preserve">What to collect</w:t>
            </w:r>
          </w:p>
        </w:tc>
        <w:tc>
          <w:tcPr/>
          <w:p>
            <w:pPr>
              <w:pStyle w:val="Compact"/>
            </w:pPr>
            <w:r>
              <w:t xml:space="preserve">CSW source</w:t>
            </w:r>
          </w:p>
        </w:tc>
        <w:tc>
          <w:tcPr/>
          <w:p>
            <w:pPr>
              <w:pStyle w:val="Compact"/>
            </w:pPr>
            <w:r>
              <w:t xml:space="preserve">Suggested cadence</w:t>
            </w:r>
          </w:p>
        </w:tc>
      </w:tr>
      <w:tr>
        <w:tc>
          <w:tcPr/>
          <w:p>
            <w:pPr>
              <w:pStyle w:val="Compact"/>
            </w:pPr>
            <w:r>
              <w:t xml:space="preserve">Workload scope inventory</w:t>
            </w:r>
          </w:p>
        </w:tc>
        <w:tc>
          <w:tcPr/>
          <w:p>
            <w:pPr>
              <w:pStyle w:val="Compact"/>
            </w:pPr>
            <w:r>
              <w:t xml:space="preserve">Workloads in COBIT audit scope by business function</w:t>
            </w:r>
          </w:p>
        </w:tc>
        <w:tc>
          <w:tcPr/>
          <w:p>
            <w:pPr>
              <w:pStyle w:val="Compact"/>
            </w:pPr>
            <w:r>
              <w:t xml:space="preserve">Inventory + scope membership export</w:t>
            </w:r>
          </w:p>
        </w:tc>
        <w:tc>
          <w:tcPr/>
          <w:p>
            <w:pPr>
              <w:pStyle w:val="Compact"/>
            </w:pPr>
            <w:r>
              <w:t xml:space="preserve">Monthly</w:t>
            </w:r>
          </w:p>
        </w:tc>
      </w:tr>
      <w:tr>
        <w:tc>
          <w:tcPr/>
          <w:p>
            <w:pPr>
              <w:pStyle w:val="Compact"/>
            </w:pPr>
            <w:r>
              <w:t xml:space="preserve">Policy and change evidence</w:t>
            </w:r>
          </w:p>
        </w:tc>
        <w:tc>
          <w:tcPr/>
          <w:p>
            <w:pPr>
              <w:pStyle w:val="Compact"/>
            </w:pPr>
            <w:r>
              <w:t xml:space="preserve">Workspace snapshot before/after each authorised change</w:t>
            </w:r>
          </w:p>
        </w:tc>
        <w:tc>
          <w:tcPr/>
          <w:p>
            <w:pPr>
              <w:pStyle w:val="Compact"/>
            </w:pPr>
            <w:r>
              <w:t xml:space="preserve">Policy workspace export + change log</w:t>
            </w:r>
          </w:p>
        </w:tc>
        <w:tc>
          <w:tcPr/>
          <w:p>
            <w:pPr>
              <w:pStyle w:val="Compact"/>
            </w:pPr>
            <w:r>
              <w:t xml:space="preserve">Per change + quarterly bundle</w:t>
            </w:r>
          </w:p>
        </w:tc>
      </w:tr>
      <w:tr>
        <w:tc>
          <w:tcPr/>
          <w:p>
            <w:pPr>
              <w:pStyle w:val="Compact"/>
            </w:pPr>
            <w:r>
              <w:t xml:space="preserve">Conformance monitoring evidence</w:t>
            </w:r>
          </w:p>
        </w:tc>
        <w:tc>
          <w:tcPr/>
          <w:p>
            <w:pPr>
              <w:pStyle w:val="Compact"/>
            </w:pPr>
            <w:r>
              <w:t xml:space="preserve">Continuous policy-violation and drift evidence</w:t>
            </w:r>
          </w:p>
        </w:tc>
        <w:tc>
          <w:tcPr/>
          <w:p>
            <w:pPr>
              <w:pStyle w:val="Compact"/>
            </w:pPr>
            <w:r>
              <w:t xml:space="preserve">Policy analysis output</w:t>
            </w:r>
          </w:p>
        </w:tc>
        <w:tc>
          <w:tcPr/>
          <w:p>
            <w:pPr>
              <w:pStyle w:val="Compact"/>
            </w:pPr>
            <w:r>
              <w:t xml:space="preserve">Continuous; reviewed quarterly</w:t>
            </w:r>
          </w:p>
        </w:tc>
      </w:tr>
      <w:tr>
        <w:tc>
          <w:tcPr/>
          <w:p>
            <w:pPr>
              <w:pStyle w:val="Compact"/>
            </w:pPr>
            <w:r>
              <w:t xml:space="preserve">Vulnerability + reachability</w:t>
            </w:r>
          </w:p>
        </w:tc>
        <w:tc>
          <w:tcPr/>
          <w:p>
            <w:pPr>
              <w:pStyle w:val="Compact"/>
            </w:pPr>
            <w:r>
              <w:t xml:space="preserve">CVE list weighted by reach across in-scope workloads</w:t>
            </w:r>
          </w:p>
        </w:tc>
        <w:tc>
          <w:tcPr/>
          <w:p>
            <w:pPr>
              <w:pStyle w:val="Compact"/>
            </w:pPr>
            <w:r>
              <w:t xml:space="preserve">Vulnerability report scoped to COBIT-2019</w:t>
            </w:r>
          </w:p>
        </w:tc>
        <w:tc>
          <w:tcPr/>
          <w:p>
            <w:pPr>
              <w:pStyle w:val="Compact"/>
            </w:pPr>
            <w:r>
              <w:t xml:space="preserve">Monthly</w:t>
            </w:r>
          </w:p>
        </w:tc>
      </w:tr>
      <w:tr>
        <w:tc>
          <w:tcPr/>
          <w:p>
            <w:pPr>
              <w:pStyle w:val="Compact"/>
            </w:pPr>
            <w:r>
              <w:t xml:space="preserve">Management review pack</w:t>
            </w:r>
          </w:p>
        </w:tc>
        <w:tc>
          <w:tcPr/>
          <w:p>
            <w:pPr>
              <w:pStyle w:val="Compact"/>
            </w:pPr>
            <w:r>
              <w:t xml:space="preserve">Aggregated quarterly evidence bundle</w:t>
            </w:r>
          </w:p>
        </w:tc>
        <w:tc>
          <w:tcPr/>
          <w:p>
            <w:pPr>
              <w:pStyle w:val="Compact"/>
            </w:pPr>
            <w:r>
              <w:t xml:space="preserve">Inventory + workspace + policy violation + vulnerability extracts</w:t>
            </w:r>
          </w:p>
        </w:tc>
        <w:tc>
          <w:tcPr/>
          <w:p>
            <w:pPr>
              <w:pStyle w:val="Compact"/>
            </w:pPr>
            <w:r>
              <w:t xml:space="preserve">Quarterly</w:t>
            </w:r>
          </w:p>
        </w:tc>
      </w:tr>
    </w:tbl>
    <w:bookmarkEnd w:id="17"/>
    <w:bookmarkStart w:id="18" w:name="pov-workshop-approach"/>
    <w:p>
      <w:pPr>
        <w:pStyle w:val="Heading2"/>
      </w:pPr>
      <w:r>
        <w:t xml:space="preserve">POV / Workshop Approach</w:t>
      </w:r>
    </w:p>
    <w:p>
      <w:pPr>
        <w:pStyle w:val="Compact"/>
        <w:numPr>
          <w:ilvl w:val="0"/>
          <w:numId w:val="1003"/>
        </w:numPr>
      </w:pPr>
      <w:r>
        <w:t xml:space="preserve">Confirm the framework version and assessment cycle with the customer’s compliance team.</w:t>
      </w:r>
    </w:p>
    <w:p>
      <w:pPr>
        <w:pStyle w:val="Compact"/>
        <w:numPr>
          <w:ilvl w:val="0"/>
          <w:numId w:val="1003"/>
        </w:numPr>
      </w:pPr>
      <w:r>
        <w:t xml:space="preserve">Select one business service, regulated boundary, or critical workload group to start with; do not attempt to instrument the entire estate in the POV.</w:t>
      </w:r>
    </w:p>
    <w:p>
      <w:pPr>
        <w:pStyle w:val="Compact"/>
        <w:numPr>
          <w:ilvl w:val="0"/>
          <w:numId w:val="1003"/>
        </w:numPr>
      </w:pPr>
      <w:r>
        <w:t xml:space="preserve">Validate workload coverage and install sensors or configure supported connectors. Document the cannot-instrument register; this is itself evidence.</w:t>
      </w:r>
    </w:p>
    <w:p>
      <w:pPr>
        <w:pStyle w:val="Compact"/>
        <w:numPr>
          <w:ilvl w:val="0"/>
          <w:numId w:val="1003"/>
        </w:numPr>
      </w:pPr>
      <w:r>
        <w:t xml:space="preserve">Apply labels for application, environment, owner, data class, criticality, compliance scope, and any framework-specific tags (e.g. </w:t>
      </w:r>
      <w:r>
        <w:rPr>
          <w:rStyle w:val="VerbatimChar"/>
        </w:rPr>
        <w:t xml:space="preserve">tenant</w:t>
      </w:r>
      <w:r>
        <w:t xml:space="preserve">,</w:t>
      </w:r>
      <w:r>
        <w:t xml:space="preserve"> </w:t>
      </w:r>
      <w:r>
        <w:rPr>
          <w:rStyle w:val="VerbatimChar"/>
        </w:rPr>
        <w:t xml:space="preserve">prototype</w:t>
      </w:r>
      <w:r>
        <w:t xml:space="preserve">,</w:t>
      </w:r>
      <w:r>
        <w:t xml:space="preserve"> </w:t>
      </w:r>
      <w:r>
        <w:rPr>
          <w:rStyle w:val="VerbatimChar"/>
        </w:rPr>
        <w:t xml:space="preserve">isa_level</w:t>
      </w:r>
      <w:r>
        <w:t xml:space="preserve">,</w:t>
      </w:r>
      <w:r>
        <w:t xml:space="preserve"> </w:t>
      </w:r>
      <w:r>
        <w:rPr>
          <w:rStyle w:val="VerbatimChar"/>
        </w:rPr>
        <w:t xml:space="preserve">npi</w:t>
      </w:r>
      <w:r>
        <w:t xml:space="preserve">,</w:t>
      </w:r>
      <w:r>
        <w:t xml:space="preserve"> </w:t>
      </w:r>
      <w:r>
        <w:rPr>
          <w:rStyle w:val="VerbatimChar"/>
        </w:rPr>
        <w:t xml:space="preserve">cui</w:t>
      </w:r>
      <w:r>
        <w:t xml:space="preserve">,</w:t>
      </w:r>
      <w:r>
        <w:t xml:space="preserve"> </w:t>
      </w:r>
      <w:r>
        <w:rPr>
          <w:rStyle w:val="VerbatimChar"/>
        </w:rPr>
        <w:t xml:space="preserve">ephi</w:t>
      </w:r>
      <w:r>
        <w:t xml:space="preserve">).</w:t>
      </w:r>
    </w:p>
    <w:p>
      <w:pPr>
        <w:pStyle w:val="Compact"/>
        <w:numPr>
          <w:ilvl w:val="0"/>
          <w:numId w:val="1003"/>
        </w:numPr>
      </w:pPr>
      <w:r>
        <w:t xml:space="preserve">Observe flows over a representative business window. Minimum two weeks; longer if the customer has month-end, quarterly, or seasonal cycles relevant to the scope.</w:t>
      </w:r>
    </w:p>
    <w:p>
      <w:pPr>
        <w:pStyle w:val="Compact"/>
        <w:numPr>
          <w:ilvl w:val="0"/>
          <w:numId w:val="1003"/>
        </w:numPr>
      </w:pPr>
      <w:r>
        <w:t xml:space="preserve">Use ADM to generate a candidate policy. Review with the application owner. Run in Simulation mode for at least two weeks before any enforcement.</w:t>
      </w:r>
    </w:p>
    <w:p>
      <w:pPr>
        <w:pStyle w:val="Compact"/>
        <w:numPr>
          <w:ilvl w:val="0"/>
          <w:numId w:val="1003"/>
        </w:numPr>
      </w:pPr>
      <w:r>
        <w:t xml:space="preserve">Package inventory, scope, flows, policy, exceptions, and known gaps as the evidence output. Cross-reference this report’s evidence collection table with the customer’s existing audit work-papers.</w:t>
      </w:r>
    </w:p>
    <w:bookmarkEnd w:id="18"/>
    <w:bookmarkStart w:id="19" w:name="boundaries-and-complementary-controls"/>
    <w:p>
      <w:pPr>
        <w:pStyle w:val="Heading2"/>
      </w:pPr>
      <w:r>
        <w:t xml:space="preserve">Boundaries and Complementary Controls</w:t>
      </w:r>
    </w:p>
    <w:p>
      <w:pPr>
        <w:pStyle w:val="FirstParagraph"/>
      </w:pPr>
      <w:r>
        <w:t xml:space="preserve">CSW does not replace COBIT governance design, design-factor analysis, goals cascade, process ownership, risk appetite decisions, enterprise metrics ownership, audit judgement, or GRC workflow.</w:t>
      </w:r>
    </w:p>
    <w:bookmarkEnd w:id="19"/>
    <w:bookmarkStart w:id="20" w:name="assessor-auditor-caveat"/>
    <w:p>
      <w:pPr>
        <w:pStyle w:val="Heading2"/>
      </w:pPr>
      <w:r>
        <w:t xml:space="preserve">Assessor / Auditor Caveat</w:t>
      </w:r>
    </w:p>
    <w:p>
      <w:pPr>
        <w:pStyle w:val="FirstParagraph"/>
      </w:pPr>
      <w:r>
        <w:t xml:space="preserve">CSW provides technical evidence inputs. The customer’s qualified assessor, auditor, certifying body, or regulator determines compliance status. Validate all framework-topic mappings, control IDs, paragraph references, and section numbers in this report against the current official framework text. If the customer is being assessed against a version other than the one referenced in the framework version note above, revalidate before use.</w:t>
      </w:r>
    </w:p>
    <w:bookmarkEnd w:id="20"/>
    <w:bookmarkStart w:id="21"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COBIT 2019 Compliance Report</dc:title>
  <dc:creator/>
  <cp:keywords/>
  <dcterms:created xsi:type="dcterms:W3CDTF">2026-05-13T18:07:58Z</dcterms:created>
  <dcterms:modified xsi:type="dcterms:W3CDTF">2026-05-13T18:07:58Z</dcterms:modified>
</cp:coreProperties>
</file>

<file path=docProps/custom.xml><?xml version="1.0" encoding="utf-8"?>
<Properties xmlns="http://schemas.openxmlformats.org/officeDocument/2006/custom-properties" xmlns:vt="http://schemas.openxmlformats.org/officeDocument/2006/docPropsVTypes"/>
</file>