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HIPAA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/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HIPAA Security Rule (45 CFR Part 164)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AWS / Azure / GCP)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2"/>
      </w:pPr>
      <w:r>
        <w:t>How to read the coverage words</w:t>
      </w:r>
    </w:p>
    <w:p>
      <w:pPr>
        <w:pStyle w:val="Normal"/>
      </w:pPr>
      <w:r>
        <w:rPr>
          <w:b/>
        </w:rPr>
        <w:t>Full Coverage</w:t>
      </w:r>
      <w:r>
        <w:t xml:space="preserve"> on the older reports means Secure Workload can produce that row's artifact. It does not mean the control is met.</w:t>
      </w:r>
    </w:p>
    <w:p>
      <w:pPr>
        <w:pStyle w:val="Normal"/>
      </w:pPr>
      <w:r>
        <w:rPr>
          <w:b/>
        </w:rPr>
        <w:t>Partial Coverage</w:t>
      </w:r>
      <w:r>
        <w:t xml:space="preserve"> means file that export next to another control.</w:t>
      </w:r>
    </w:p>
    <w:p>
      <w:pPr>
        <w:pStyle w:val="Normal"/>
      </w:pPr>
      <w:r>
        <w:rPr>
          <w:b/>
        </w:rPr>
        <w:t>Evidence Required</w:t>
      </w:r>
      <w:r>
        <w:t xml:space="preserve"> means Secure Workload has no record. The customer files the contract, the analysis, or the HR or physical-security evidence.</w:t>
      </w:r>
    </w:p>
    <w:p>
      <w:pPr>
        <w:pStyle w:val="Normal"/>
      </w:pPr>
      <w:r>
        <w:rPr>
          <w:b/>
        </w:rPr>
        <w:t>Direct, Supporting, and Out of scope</w:t>
      </w:r>
      <w:r>
        <w:t xml:space="preserve"> on the newer reports are the same idea in different words. Direct is still evidence, not a pass.</w:t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Healthcare organizations face escalating regulatory obligations under the HIPAA Security Rule to protect electronic Protected Health Information (ePHI). This report documents how Cisco Secure Workload (CSW) enables [Customer Name] to satisfy HIPAA Security Rule requirements through workload-level visibility, micro-segmentation, real-time monitoring, and forensic telemetry.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provides the technical foundation for a defense-in-depth approach to ePHI protection — ensuring that access to sensitive clinical and billing data is continuously authorized, monitored, and auditable across on-premises and cloud environments.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Compliance Posture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800"/>
        <w:gridCol w:w="3760"/>
        <w:gridCol w:w="1800"/>
      </w:tblGrid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Safeguard Category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Controls Addressed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Administrative Safeguards §164.308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Risk analysis, access management, incident response, contingency planning, evaluation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Physical Safeguards §164.310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Workload isolation and access boundary enforcement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Technical Safeguards §164.312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Access controls, audit controls, integrity, authentication, encryption in transit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Organizational Requirements §164.314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Business Associate scope definition, third-party access control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70C0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Evidence Required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/>
          <w:iCs/>
          <w:color w:val="666666"/>
          <w:sz w:val="22"/>
          <w:szCs w:val="22"/>
        </w:rPr>
        <w:t>Note: Physical Safeguards relate to physical facility controls (locks, cameras, workstation policies) which are outside CSW scope. CSW directly complements these controls through workload isolation and logical access enforcement.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CSW Capabilities &amp; HIPAA Alignment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Cisco Secure Workload delivers four core capability pillars that directly address HIPAA Security Rule requirements: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3561"/>
        <w:gridCol w:w="3600"/>
      </w:tblGrid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Capability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HIPAA Controls Satisfied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Application Dependency Mapping (ADM)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Discovers all workload-to-workload communication flows, processes, and users. Identifies ePHI application boundaries without prior knowledge.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 Risk Analysis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§164.312(a) Access Control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§164.308(a)(3) Workforce Access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Micro-Segmentation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Enforces allowlist policies at the workload level — not just perimeter firewalls. Isolates ePHI systems from unauthorized lateral access.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§164.312(a)(1) Access Control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§164.312(e) Encryption/Isolation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 Incident Response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Vulnerability Detection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Continuously scans workloads for CVEs with CVSS scoring. Prioritizes risk remediation on ePHI-bearing systems.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 Risk Analysis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§164.308(a)(8) Evaluation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Forensic Telemetry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Retains network flow and process-level audit trail across all monitored workloads for breach investigation and compliance reporting.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§164.312(b) Audit Controls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 Incident Response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 Risk Analysis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HIPAA Control Mapping Detail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The following table maps each applicable HIPAA Security Rule control to the corresponding CSW capability and implementation approach.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1200"/>
        <w:gridCol w:w="1699"/>
        <w:gridCol w:w="2101"/>
        <w:gridCol w:w="2359"/>
        <w:gridCol w:w="701"/>
      </w:tblGrid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Safeguard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Ref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HIPAA Requirement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§164.312(a)(2)(i)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Unique User Identification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Assign unique name or number for identifying and tracking user identity.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ADM captures process-user context per workload. Anomaly detection alerts on shared or generic credential usage patterns.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§164.312(a)(2)(ii)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Emergency Access Procedure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Establish procedures for obtaining necessary ePHI during an emergency.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Break-glass policy workspace configured in CSW with alert-only mode. Emergency IP ranges defined with expanded but audited access.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§164.312(b)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Audit Controls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mechanisms to record and examine activity in systems containing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retains full network flow and process telemetry. Flow search enables retrospective audit of any ePHI workload interaction.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§164.312(c)(1)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Integrity Controls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Protect ePHI from improper alteration or destruction.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policy enforcement blocks unauthorized write-path access. Process hash verification detects workload tampering.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§164.312(d)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Authentication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Verify that a person or entity seeking access to ePHI is the one claimed.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enforces LDAPS/Kerberos-only paths to ePHI systems. Unencrypted LDAP (port 389) blocked via policy.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§164.312(e)(2)(ii)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Encryption in Transit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a mechanism to encrypt ePHI in transit when appropriate.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detects unencrypted protocols (HTTP, FTP, plain LDAP) on PHI-Zone workloads. Policy enforces HTTPS/SFTP/LDAPS.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§164.308(a)(1)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Risk Analysis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Conduct an accurate and thorough assessment of the potential risks and vulnerabilities to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vulnerability detection provides continuous CVE assessment on all PHI-Zone workloads. CVSS-scored reports exportable for risk register input.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§164.308(a)(3)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Workforce Access Management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procedures for authorizing access to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scope-based policies define which workloads can access ePHI systems. Policy changes require approved workflow.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§164.308(a)(6)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Security Incident Procedures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policies to address security incidents, including identifying and responding to suspected incidents.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anomaly detection and policy violation alerts provide real-time incident detection. Forensic telemetry supports full incident reconstruction.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§164.308(a)(7)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Contingency Plan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Establish policies for responding to emergencies that damage systems containing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policy workspaces exportable for DR purposes. Backup policy sets maintained for recovery scenarios.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§164.308(a)(8)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Evaluation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Perform periodic technical and nontechnical evaluation of implemented security measures.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compliance dashboard provides ongoing posture evaluation. Quarterly ADM re-runs detect policy drift.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Organizational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§164.314(a)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Business Associate Contracts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Document satisfactory assurances from business associates that they will appropriately safeguard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defines External-Partners scope with restricted policy. All BA network access flows through audited, policy-enforced paths.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70C0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Evidence Required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Recommended Deployment Architecture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PHI Zone Segmentation Model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organizes workloads into policy scopes that map directly to HIPAA data classification requirements. The following architecture is recommended for hybrid healthcare environments: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PHI Zone (Strict)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Clinical Support (Moderate)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Corporate IT (Standard)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External Partners (BAA)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EHR / EMR Servers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Billing Systems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Medical Imaging (PACS)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HL7 Integration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Clinical Databases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Clinical Workstations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Lab Systems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Pharmacy Apps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Diagnostic Tools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Active Directory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Email / Collaboration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File Servers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IT Management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Clearinghouses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Third-Party Apps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Health Plans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Vendor Portals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Default DENY all inbound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Encrypted paths only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Full forensic logging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Restricted to defined PHI-Zone flows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ADM-validated policies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No direct PHI access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Jump-host controlled admin paths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BAA-documented access only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Full flow audit per partner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Hybrid Environment Coverage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provides unified policy and visibility across on-premises and cloud workloads: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3781"/>
        <w:gridCol w:w="3780"/>
      </w:tblGrid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Deployment Method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Capabilities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On-Premises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(Linux/Windows sensor)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Direct CSW cluster registration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Full telemetry, policy enforcement, vulnerability scan, process context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AWS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on EC2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Cloud connector (VPC Flow Logs)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Tag-based scope inheritance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Flow visibility, security group mapping, instance inventory, policy enforcement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Azure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on VMs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Cloud connector (NSG Flow Logs)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Azure tag synchronization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Flow visibility, NSG mapping, VM inventory, policy enforcement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GCP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on GCE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Cloud connector (VPC Flow Logs)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Label-based scope inheritance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Flow visibility, firewall rule mapping, instance inventory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Evidence Collection &amp; Audit Readiness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generates and retains the evidence required to demonstrate HIPAA compliance to auditors. The following evidence artifacts are available from CSW: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2500"/>
        <w:gridCol w:w="2000"/>
        <w:gridCol w:w="2360"/>
      </w:tblGrid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Evidence Artifact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HIPAA Control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Recommended Frequency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Policy Enforcement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Defend &gt; Policy Analysis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§164.312(a)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Continuous / Monthly export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Vulnerability Scan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Vulnerability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Weekly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Network Flow Audit Log (PHI-Zone)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Flow Search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§164.312(b)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Continuous / Quarterly export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Policy Violation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Alerts &gt; Triggered Events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Real-time / Monthly summary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Scope Membership Snapshot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Inventory &gt; Export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§164.308(a)(3)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Monthly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Encryption Compliance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Flow analysis (protocol filter)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§164.312(e)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Quarterly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Application Dependency Map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ADM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Quarterly re-run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Forensic Incident Timeline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Flow/Process Search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On-demand (post-incident)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Documentation Retention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HIPAA requires documentation to be retained for a minimum of 6 years from the date of creation or the date it was last in effect. CSW supports this through: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Configurable telemetry retention periods (recommend 6-year minimum for audit logs)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Policy workspace version history — tracks all policy changes with timestamps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Exportable evidence packages in PDF/CSV format for long-term archival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API-based integration with SIEM/SOAR platforms for centralized log management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Recommended Next Steps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99"/>
        <w:gridCol w:w="2101"/>
        <w:gridCol w:w="4659"/>
        <w:gridCol w:w="2101"/>
      </w:tblGrid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Timeline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Sensor Deployment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Install CSW software sensors on all on-prem PHI workloads. Connect cloud accounts via CSW cloud connectors.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1-5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Scope &amp; Inventory Design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Create PHI-Zone scope hierarchy. Apply HIPAA labels (env, compliance, data) across all workloads.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6-10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Application Dependency Mapping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Run 2-4 week ADM to discover all ePHI application flows. Identify and tag ePHI apps from ADM output.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11-28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Policy Development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Build allowlist policies from ADM baseline. Configure default-deny for PHI-Zone. Run in Simulation mode.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29-42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Enforcement Go-Live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Progress from Simulation to Enforcement. Validate no clinical workflow disruption. Enable full alerting.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43-56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Compliance Reporting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Generate first HIPAA evidence package. Schedule quarterly review cycle. Deliver compliance dashboard to CISO.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 60+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About Cisco Secure Workload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Cisco Secure Workload (CSW) is a workload protection platform that provides application micro-segmentation, real-time vulnerability assessment, and forensic telemetry across hybrid and multi-cloud environments. CSW is deployed by leading healthcare, financial services, and critical infrastructure organizations to satisfy regulatory compliance requirements and accelerate zero trust adoption.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666666"/>
          <w:sz w:val="22"/>
          <w:szCs w:val="22"/>
        </w:rPr>
        <w:t>For more information or to schedule a technical deep-dive, contact your Cisco account team.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HIPAA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HIPAA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2026-04-29T23:01:56Z</dcterms:created>
  <dc:creator>Un-named</dc:creator>
  <dc:description/>
  <dc:language>en-US</dc:language>
  <cp:lastModifiedBy>Un-named</cp:lastModifiedBy>
  <dcterms:modified xsi:type="dcterms:W3CDTF">2026-04-29T23:01:56Z</dcterms:modified>
  <cp:revision>1</cp:revision>
  <dc:subject/>
  <dc:title/>
</cp:coreProperties>
</file>