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Cisco Secure Workload - MAS TRM Compliance Report</w:t>
      </w:r>
    </w:p>
    <w:bookmarkStart w:id="22" w:name="X70c65b2032de2123c4fb136120b33c6a459e70c"/>
    <w:p>
      <w:pPr>
        <w:pStyle w:val="Heading1"/>
      </w:pPr>
      <w:r>
        <w:t xml:space="preserve">Cisco Secure Workload - MAS TRM Compliance Report</w:t>
      </w:r>
    </w:p>
    <w:bookmarkStart w:id="9" w:name="customer-facing-compliance-report"/>
    <w:p>
      <w:pPr>
        <w:pStyle w:val="Heading2"/>
      </w:pPr>
      <w:r>
        <w:t xml:space="preserve">Customer-Facing Compliance Report</w:t>
      </w:r>
    </w:p>
    <w:p>
      <w:pPr>
        <w:pStyle w:val="FirstParagraph"/>
      </w:pPr>
      <w:r>
        <w:rPr>
          <w:b/>
          <w:bCs/>
        </w:rPr>
        <w:t xml:space="preserve">Framework:</w:t>
      </w:r>
      <w:r>
        <w:t xml:space="preserve"> </w:t>
      </w:r>
      <w:r>
        <w:t xml:space="preserve">Monetary Authority of Singapore (MAS) Technology Risk Management Guidelines</w:t>
      </w:r>
      <w:r>
        <w:br/>
      </w:r>
      <w:r>
        <w:rPr>
          <w:b/>
          <w:bCs/>
        </w:rPr>
        <w:t xml:space="preserve">Primary audience:</w:t>
      </w:r>
      <w:r>
        <w:t xml:space="preserve"> </w:t>
      </w:r>
      <w:r>
        <w:t xml:space="preserve">Singapore-licensed financial institutions (banks, finance companies, insurers, capital markets services licensees, payment services licensees) using MAS TRM as the technology risk baseline.</w:t>
      </w:r>
      <w:r>
        <w:br/>
      </w:r>
      <w:r>
        <w:rPr>
          <w:b/>
          <w:bCs/>
        </w:rPr>
        <w:t xml:space="preserve">CSW positioning:</w:t>
      </w:r>
      <w:r>
        <w:t xml:space="preserve"> </w:t>
      </w:r>
      <w:r>
        <w:t xml:space="preserve">Critical-system segmentation, technology-asset evidence, outsourcing visibility, vulnerability context, monitoring, and incident scoping.</w:t>
      </w:r>
    </w:p>
    <w:p>
      <w:r>
        <w:pict>
          <v:rect style="width:0;height:1.5pt" o:hralign="center" o:hrstd="t" o:hr="t"/>
        </w:pict>
      </w:r>
    </w:p>
    <w:bookmarkEnd w:id="9"/>
    <w:bookmarkStart w:id="10" w:name="framework-version-note"/>
    <w:p>
      <w:pPr>
        <w:pStyle w:val="Heading2"/>
      </w:pPr>
      <w:r>
        <w:t xml:space="preserve">Framework Version Note</w:t>
      </w:r>
    </w:p>
    <w:p>
      <w:pPr>
        <w:pStyle w:val="FirstParagraph"/>
      </w:pPr>
      <w:r>
        <w:t xml:space="preserve">References the MAS TRM Guidelines published January 2021 (current published version at the time of writing). Validate against the latest MAS publication before use in a supervisory or audit context.</w:t>
      </w:r>
    </w:p>
    <w:bookmarkEnd w:id="10"/>
    <w:bookmarkStart w:id="11" w:name="csw-ui-navigation-note"/>
    <w:p>
      <w:pPr>
        <w:pStyle w:val="Heading2"/>
      </w:pPr>
      <w:r>
        <w:t xml:space="preserve">CSW UI Navigation Note</w:t>
      </w:r>
    </w:p>
    <w:p>
      <w:pPr>
        <w:pStyle w:val="FirstParagraph"/>
      </w:pPr>
      <w:r>
        <w:t xml:space="preserve">Cisco does not yet publish framework-specific CSW UI navigation for this standard; framework-specific navigation is on the product roadmap. This report references CSW</w:t>
      </w:r>
      <w:r>
        <w:t xml:space="preserve"> </w:t>
      </w:r>
      <w:r>
        <w:rPr>
          <w:i/>
          <w:iCs/>
        </w:rPr>
        <w:t xml:space="preserve">capabilities</w:t>
      </w:r>
      <w:r>
        <w:t xml:space="preserve"> </w:t>
      </w:r>
      <w:r>
        <w:t xml:space="preserve">and the</w:t>
      </w:r>
      <w:r>
        <w:t xml:space="preserve"> </w:t>
      </w:r>
      <w:r>
        <w:rPr>
          <w:i/>
          <w:iCs/>
        </w:rPr>
        <w:t xml:space="preserve">evidence artifacts</w:t>
      </w:r>
      <w:r>
        <w:t xml:space="preserve"> </w:t>
      </w:r>
      <w:r>
        <w:t xml:space="preserve">they produce. The technical runbook (</w:t>
      </w:r>
      <w:r>
        <w:rPr>
          <w:rStyle w:val="VerbatimChar"/>
        </w:rPr>
        <w:t xml:space="preserve">CSW-MAS-TRM-Technical-Runbook.md</w:t>
      </w:r>
      <w:r>
        <w:t xml:space="preserve">) in this folder contains the deeper engineering detail.</w:t>
      </w:r>
    </w:p>
    <w:p>
      <w:r>
        <w:pict>
          <v:rect style="width:0;height:1.5pt" o:hralign="center" o:hrstd="t" o:hr="t"/>
        </w:pict>
      </w:r>
    </w:p>
    <w:bookmarkEnd w:id="11"/>
    <w:bookmarkStart w:id="12" w:name="executive-summary"/>
    <w:p>
      <w:pPr>
        <w:pStyle w:val="Heading2"/>
      </w:pPr>
      <w:r>
        <w:t>How to read the coverage words</w:t>
      </w:r>
    </w:p>
    <w:p>
      <w:pPr/>
      <w:r>
        <w:rPr>
          <w:b/>
        </w:rPr>
        <w:t>Full Coverage</w:t>
      </w:r>
      <w:r>
        <w:t xml:space="preserve"> on the older reports means Secure Workload can produce that row's artifact. It does not mean the control is met.</w:t>
      </w:r>
    </w:p>
    <w:p>
      <w:pPr/>
      <w:r>
        <w:rPr>
          <w:b/>
        </w:rPr>
        <w:t>Partial Coverage</w:t>
      </w:r>
      <w:r>
        <w:t xml:space="preserve"> means file that export next to another control.</w:t>
      </w:r>
    </w:p>
    <w:p>
      <w:pPr/>
      <w:r>
        <w:rPr>
          <w:b/>
        </w:rPr>
        <w:t>Evidence Required</w:t>
      </w:r>
      <w:r>
        <w:t xml:space="preserve"> means Secure Workload has no record. The customer files the contract, the analysis, or the HR or physical-security evidence.</w:t>
      </w:r>
    </w:p>
    <w:p>
      <w:pPr/>
      <w:r>
        <w:rPr>
          <w:b/>
        </w:rPr>
        <w:t>Direct, Supporting, and Out of scope</w:t>
      </w:r>
      <w:r>
        <w:t xml:space="preserve"> on the newer reports are the same idea in different words. Direct is still evidence, not a pass.</w:t>
      </w:r>
    </w:p>
    <w:p>
      <w:pPr>
        <w:pStyle w:val="Heading2"/>
      </w:pPr>
      <w:r>
        <w:t xml:space="preserve">Executive Summary</w:t>
      </w:r>
    </w:p>
    <w:p>
      <w:pPr>
        <w:pStyle w:val="FirstParagraph"/>
      </w:pPr>
      <w:r>
        <w:t xml:space="preserve">Cisco Secure Workload (CSW) supports a defined subset of this framework. The strongest customer story is not that CSW</w:t>
      </w:r>
      <w:r>
        <w:t xml:space="preserve"> </w:t>
      </w:r>
      <w:r>
        <w:t xml:space="preserve">“certifies”</w:t>
      </w:r>
      <w:r>
        <w:t xml:space="preserve"> </w:t>
      </w:r>
      <w:r>
        <w:t xml:space="preserve">compliance; it is that CSW turns workload communication and inventory into evidence that the customer, the customer’s compliance team, and the customer’s assessor can review. This report describes which framework topics CSW supports, which it does not, what evidence artifacts CSW produces, and how often the customer should collect them. CSW does</w:t>
      </w:r>
      <w:r>
        <w:t xml:space="preserve"> </w:t>
      </w:r>
      <w:r>
        <w:rPr>
          <w:b/>
          <w:bCs/>
        </w:rPr>
        <w:t xml:space="preserve">not</w:t>
      </w:r>
      <w:r>
        <w:t xml:space="preserve"> </w:t>
      </w:r>
      <w:r>
        <w:t xml:space="preserve">replace the customer’s governance, policy, or assessor judgement, and this report is</w:t>
      </w:r>
      <w:r>
        <w:t xml:space="preserve"> </w:t>
      </w:r>
      <w:r>
        <w:rPr>
          <w:b/>
          <w:bCs/>
        </w:rPr>
        <w:t xml:space="preserve">not</w:t>
      </w:r>
      <w:r>
        <w:t xml:space="preserve"> </w:t>
      </w:r>
      <w:r>
        <w:t xml:space="preserve">a control attestation.</w:t>
      </w:r>
    </w:p>
    <w:bookmarkEnd w:id="12"/>
    <w:bookmarkStart w:id="13" w:name="suggested-csw-scope-pattern"/>
    <w:p>
      <w:pPr>
        <w:pStyle w:val="Heading2"/>
      </w:pPr>
      <w:r>
        <w:t xml:space="preserve">Suggested CSW Scope Pattern</w:t>
      </w:r>
    </w:p>
    <w:p>
      <w:pPr>
        <w:pStyle w:val="SourceCode"/>
      </w:pPr>
      <w:r>
        <w:rPr>
          <w:rStyle w:val="VerbatimChar"/>
        </w:rPr>
        <w:t xml:space="preserve">MAS-TRM</w:t>
      </w:r>
      <w:r>
        <w:br/>
      </w:r>
      <w:r>
        <w:rPr>
          <w:rStyle w:val="VerbatimChar"/>
        </w:rPr>
        <w:t xml:space="preserve">├── Critical-Systems (Digital-Banking, Payments, Trading, Core-Platforms)</w:t>
      </w:r>
      <w:r>
        <w:br/>
      </w:r>
      <w:r>
        <w:rPr>
          <w:rStyle w:val="VerbatimChar"/>
        </w:rPr>
        <w:t xml:space="preserve">├── Customer-Data (Data-Stores, Analytics)</w:t>
      </w:r>
      <w:r>
        <w:br/>
      </w:r>
      <w:r>
        <w:rPr>
          <w:rStyle w:val="VerbatimChar"/>
        </w:rPr>
        <w:t xml:space="preserve">├── Security-Services (Identity-Adjacent, Monitoring, Patch-Management)</w:t>
      </w:r>
      <w:r>
        <w:br/>
      </w:r>
      <w:r>
        <w:rPr>
          <w:rStyle w:val="VerbatimChar"/>
        </w:rPr>
        <w:t xml:space="preserve">└── Outsourced-Third-Parties</w:t>
      </w:r>
    </w:p>
    <w:p>
      <w:pPr>
        <w:pStyle w:val="FirstParagraph"/>
      </w:pPr>
      <w:r>
        <w:t xml:space="preserve">This scope pattern should be validated with the customer’s architecture, application owners, compliance team, and assessor before it is used for formal evidence.</w:t>
      </w:r>
    </w:p>
    <w:bookmarkEnd w:id="13"/>
    <w:bookmarkStart w:id="14" w:name="in-scope-for-csw-evidence"/>
    <w:p>
      <w:pPr>
        <w:pStyle w:val="Heading2"/>
      </w:pPr>
      <w:r>
        <w:t xml:space="preserve">In Scope for CSW Evidence</w:t>
      </w:r>
    </w:p>
    <w:p>
      <w:pPr>
        <w:pStyle w:val="Compact"/>
        <w:numPr>
          <w:ilvl w:val="0"/>
          <w:numId w:val="1001"/>
        </w:numPr>
      </w:pPr>
      <w:r>
        <w:t xml:space="preserve">Technology Risk Management Framework (asset inventory, classification)</w:t>
      </w:r>
    </w:p>
    <w:p>
      <w:pPr>
        <w:pStyle w:val="Compact"/>
        <w:numPr>
          <w:ilvl w:val="0"/>
          <w:numId w:val="1001"/>
        </w:numPr>
      </w:pPr>
      <w:r>
        <w:t xml:space="preserve">Access Control (workload-to-workload allowlist)</w:t>
      </w:r>
    </w:p>
    <w:p>
      <w:pPr>
        <w:pStyle w:val="Compact"/>
        <w:numPr>
          <w:ilvl w:val="0"/>
          <w:numId w:val="1001"/>
        </w:numPr>
      </w:pPr>
      <w:r>
        <w:t xml:space="preserve">Data and Infrastructure Security (segmentation, plaintext-flow detection)</w:t>
      </w:r>
    </w:p>
    <w:p>
      <w:pPr>
        <w:pStyle w:val="Compact"/>
        <w:numPr>
          <w:ilvl w:val="0"/>
          <w:numId w:val="1001"/>
        </w:numPr>
      </w:pPr>
      <w:r>
        <w:t xml:space="preserve">Cyber Security Operations (telemetry, alerts, forensic search)</w:t>
      </w:r>
    </w:p>
    <w:p>
      <w:pPr>
        <w:pStyle w:val="Compact"/>
        <w:numPr>
          <w:ilvl w:val="0"/>
          <w:numId w:val="1001"/>
        </w:numPr>
      </w:pPr>
      <w:r>
        <w:t xml:space="preserve">Cyber Security Assessment (CVE + reachability)</w:t>
      </w:r>
    </w:p>
    <w:p>
      <w:pPr>
        <w:pStyle w:val="Compact"/>
        <w:numPr>
          <w:ilvl w:val="0"/>
          <w:numId w:val="1001"/>
        </w:numPr>
      </w:pPr>
      <w:r>
        <w:t xml:space="preserve">Management of IT Services / Outsourcing (third-party egress visibility)</w:t>
      </w:r>
    </w:p>
    <w:p>
      <w:pPr>
        <w:pStyle w:val="Compact"/>
        <w:numPr>
          <w:ilvl w:val="0"/>
          <w:numId w:val="1001"/>
        </w:numPr>
      </w:pPr>
      <w:r>
        <w:t xml:space="preserve">IT Audit (evidence pack inputs)</w:t>
      </w:r>
    </w:p>
    <w:bookmarkEnd w:id="14"/>
    <w:bookmarkStart w:id="15" w:name="Xaed999129ed4b1f11f99b5af2968248bad86dd6"/>
    <w:p>
      <w:pPr>
        <w:pStyle w:val="Heading2"/>
      </w:pPr>
      <w:r>
        <w:t xml:space="preserve">Out of Scope (Must Be Evidenced by Other Controls / Tools / Processes)</w:t>
      </w:r>
    </w:p>
    <w:p>
      <w:pPr>
        <w:pStyle w:val="Compact"/>
        <w:numPr>
          <w:ilvl w:val="0"/>
          <w:numId w:val="1002"/>
        </w:numPr>
      </w:pPr>
      <w:r>
        <w:t xml:space="preserve">Governance and board oversight</w:t>
      </w:r>
    </w:p>
    <w:p>
      <w:pPr>
        <w:pStyle w:val="Compact"/>
        <w:numPr>
          <w:ilvl w:val="0"/>
          <w:numId w:val="1002"/>
        </w:numPr>
      </w:pPr>
      <w:r>
        <w:t xml:space="preserve">Cryptography module assurance</w:t>
      </w:r>
    </w:p>
    <w:p>
      <w:pPr>
        <w:pStyle w:val="Compact"/>
        <w:numPr>
          <w:ilvl w:val="0"/>
          <w:numId w:val="1002"/>
        </w:numPr>
      </w:pPr>
      <w:r>
        <w:t xml:space="preserve">Identity / privileged-access lifecycle</w:t>
      </w:r>
    </w:p>
    <w:p>
      <w:pPr>
        <w:pStyle w:val="Compact"/>
        <w:numPr>
          <w:ilvl w:val="0"/>
          <w:numId w:val="1002"/>
        </w:numPr>
      </w:pPr>
      <w:r>
        <w:t xml:space="preserve">Business continuity / disaster recovery testing</w:t>
      </w:r>
    </w:p>
    <w:p>
      <w:pPr>
        <w:pStyle w:val="Compact"/>
        <w:numPr>
          <w:ilvl w:val="0"/>
          <w:numId w:val="1002"/>
        </w:numPr>
      </w:pPr>
      <w:r>
        <w:t xml:space="preserve">Outsourcing due diligence and supplier assurance contracts</w:t>
      </w:r>
    </w:p>
    <w:p>
      <w:pPr>
        <w:pStyle w:val="Compact"/>
        <w:numPr>
          <w:ilvl w:val="0"/>
          <w:numId w:val="1002"/>
        </w:numPr>
      </w:pPr>
      <w:r>
        <w:t xml:space="preserve">MAS reporting / notification decisions</w:t>
      </w:r>
    </w:p>
    <w:bookmarkEnd w:id="15"/>
    <w:bookmarkStart w:id="16" w:name="framework-topic-csw-capability-map"/>
    <w:p>
      <w:pPr>
        <w:pStyle w:val="Heading2"/>
      </w:pPr>
      <w:r>
        <w:t xml:space="preserve">Framework Topic → CSW Capability Map</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Framework topic</w:t>
            </w:r>
          </w:p>
        </w:tc>
        <w:tc>
          <w:tcPr/>
          <w:p>
            <w:pPr>
              <w:pStyle w:val="Compact"/>
            </w:pPr>
            <w:r>
              <w:t xml:space="preserve">CSW capability</w:t>
            </w:r>
          </w:p>
        </w:tc>
        <w:tc>
          <w:tcPr/>
          <w:p>
            <w:pPr>
              <w:pStyle w:val="Compact"/>
            </w:pPr>
            <w:r>
              <w:t xml:space="preserve">Evidence artifact</w:t>
            </w:r>
          </w:p>
        </w:tc>
      </w:tr>
      <w:tr>
        <w:tc>
          <w:tcPr/>
          <w:p>
            <w:pPr>
              <w:pStyle w:val="Compact"/>
            </w:pPr>
            <w:r>
              <w:t xml:space="preserve">Technology asset inventory</w:t>
            </w:r>
          </w:p>
        </w:tc>
        <w:tc>
          <w:tcPr/>
          <w:p>
            <w:pPr>
              <w:pStyle w:val="Compact"/>
            </w:pPr>
            <w:r>
              <w:t xml:space="preserve">Workload inventory; scope + label export</w:t>
            </w:r>
          </w:p>
        </w:tc>
        <w:tc>
          <w:tcPr/>
          <w:p>
            <w:pPr>
              <w:pStyle w:val="Compact"/>
            </w:pPr>
            <w:r>
              <w:t xml:space="preserve">Inventory export reconciled to institution CMDB</w:t>
            </w:r>
          </w:p>
        </w:tc>
      </w:tr>
      <w:tr>
        <w:tc>
          <w:tcPr/>
          <w:p>
            <w:pPr>
              <w:pStyle w:val="Compact"/>
            </w:pPr>
            <w:r>
              <w:t xml:space="preserve">Information security risk assessment</w:t>
            </w:r>
          </w:p>
        </w:tc>
        <w:tc>
          <w:tcPr/>
          <w:p>
            <w:pPr>
              <w:pStyle w:val="Compact"/>
            </w:pPr>
            <w:r>
              <w:t xml:space="preserve">Vulnerability + reachability report</w:t>
            </w:r>
          </w:p>
        </w:tc>
        <w:tc>
          <w:tcPr/>
          <w:p>
            <w:pPr>
              <w:pStyle w:val="Compact"/>
            </w:pPr>
            <w:r>
              <w:t xml:space="preserve">Reachability-weighted exposure summary scoped to MAS-TRM</w:t>
            </w:r>
          </w:p>
        </w:tc>
      </w:tr>
      <w:tr>
        <w:tc>
          <w:tcPr/>
          <w:p>
            <w:pPr>
              <w:pStyle w:val="Compact"/>
            </w:pPr>
            <w:r>
              <w:t xml:space="preserve">Access control (network access layer)</w:t>
            </w:r>
          </w:p>
        </w:tc>
        <w:tc>
          <w:tcPr/>
          <w:p>
            <w:pPr>
              <w:pStyle w:val="Compact"/>
            </w:pPr>
            <w:r>
              <w:t xml:space="preserve">Policy workspace + enforcement log</w:t>
            </w:r>
          </w:p>
        </w:tc>
        <w:tc>
          <w:tcPr/>
          <w:p>
            <w:pPr>
              <w:pStyle w:val="Compact"/>
            </w:pPr>
            <w:r>
              <w:t xml:space="preserve">Workspace snapshot and violation/exception register</w:t>
            </w:r>
          </w:p>
        </w:tc>
      </w:tr>
      <w:tr>
        <w:tc>
          <w:tcPr/>
          <w:p>
            <w:pPr>
              <w:pStyle w:val="Compact"/>
            </w:pPr>
            <w:r>
              <w:t xml:space="preserve">Data security</w:t>
            </w:r>
          </w:p>
        </w:tc>
        <w:tc>
          <w:tcPr/>
          <w:p>
            <w:pPr>
              <w:pStyle w:val="Compact"/>
            </w:pPr>
            <w:r>
              <w:t xml:space="preserve">Plaintext-flow detection from observed flows</w:t>
            </w:r>
          </w:p>
        </w:tc>
        <w:tc>
          <w:tcPr/>
          <w:p>
            <w:pPr>
              <w:pStyle w:val="Compact"/>
            </w:pPr>
            <w:r>
              <w:t xml:space="preserve">List of unencrypted flows on customer-data paths</w:t>
            </w:r>
          </w:p>
        </w:tc>
      </w:tr>
      <w:tr>
        <w:tc>
          <w:tcPr/>
          <w:p>
            <w:pPr>
              <w:pStyle w:val="Compact"/>
            </w:pPr>
            <w:r>
              <w:t xml:space="preserve">Vulnerability management</w:t>
            </w:r>
          </w:p>
        </w:tc>
        <w:tc>
          <w:tcPr/>
          <w:p>
            <w:pPr>
              <w:pStyle w:val="Compact"/>
            </w:pPr>
            <w:r>
              <w:t xml:space="preserve">Reachability-weighted CVE evidence</w:t>
            </w:r>
          </w:p>
        </w:tc>
        <w:tc>
          <w:tcPr/>
          <w:p>
            <w:pPr>
              <w:pStyle w:val="Compact"/>
            </w:pPr>
            <w:r>
              <w:t xml:space="preserve">Prioritised remediation list with compensating-control register</w:t>
            </w:r>
          </w:p>
        </w:tc>
      </w:tr>
      <w:tr>
        <w:tc>
          <w:tcPr/>
          <w:p>
            <w:pPr>
              <w:pStyle w:val="Compact"/>
            </w:pPr>
            <w:r>
              <w:t xml:space="preserve">Security monitoring</w:t>
            </w:r>
          </w:p>
        </w:tc>
        <w:tc>
          <w:tcPr/>
          <w:p>
            <w:pPr>
              <w:pStyle w:val="Compact"/>
            </w:pPr>
            <w:r>
              <w:t xml:space="preserve">Continuous flow + process telemetry</w:t>
            </w:r>
          </w:p>
        </w:tc>
        <w:tc>
          <w:tcPr/>
          <w:p>
            <w:pPr>
              <w:pStyle w:val="Compact"/>
            </w:pPr>
            <w:r>
              <w:t xml:space="preserve">Alert and anomaly log scoped to Critical-Systems</w:t>
            </w:r>
          </w:p>
        </w:tc>
      </w:tr>
      <w:tr>
        <w:tc>
          <w:tcPr/>
          <w:p>
            <w:pPr>
              <w:pStyle w:val="Compact"/>
            </w:pPr>
            <w:r>
              <w:t xml:space="preserve">Cyber security operations / incident</w:t>
            </w:r>
          </w:p>
        </w:tc>
        <w:tc>
          <w:tcPr/>
          <w:p>
            <w:pPr>
              <w:pStyle w:val="Compact"/>
            </w:pPr>
            <w:r>
              <w:t xml:space="preserve">Forensic flow + process search</w:t>
            </w:r>
          </w:p>
        </w:tc>
        <w:tc>
          <w:tcPr/>
          <w:p>
            <w:pPr>
              <w:pStyle w:val="Compact"/>
            </w:pPr>
            <w:r>
              <w:t xml:space="preserve">Investigation pack covering affected workloads and time window</w:t>
            </w:r>
          </w:p>
        </w:tc>
      </w:tr>
      <w:tr>
        <w:tc>
          <w:tcPr/>
          <w:p>
            <w:pPr>
              <w:pStyle w:val="Compact"/>
            </w:pPr>
            <w:r>
              <w:t xml:space="preserve">Management of IT services / outsourcing</w:t>
            </w:r>
          </w:p>
        </w:tc>
        <w:tc>
          <w:tcPr/>
          <w:p>
            <w:pPr>
              <w:pStyle w:val="Compact"/>
            </w:pPr>
            <w:r>
              <w:t xml:space="preserve">Outbound flow summary to third-party endpoints</w:t>
            </w:r>
          </w:p>
        </w:tc>
        <w:tc>
          <w:tcPr/>
          <w:p>
            <w:pPr>
              <w:pStyle w:val="Compact"/>
            </w:pPr>
            <w:r>
              <w:t xml:space="preserve">Vendor-edge flow report reconciled against outsourcing register</w:t>
            </w:r>
          </w:p>
        </w:tc>
      </w:tr>
      <w:tr>
        <w:tc>
          <w:tcPr/>
          <w:p>
            <w:pPr>
              <w:pStyle w:val="Compact"/>
            </w:pPr>
            <w:r>
              <w:t xml:space="preserve">IT audit</w:t>
            </w:r>
          </w:p>
        </w:tc>
        <w:tc>
          <w:tcPr/>
          <w:p>
            <w:pPr>
              <w:pStyle w:val="Compact"/>
            </w:pPr>
            <w:r>
              <w:t xml:space="preserve">Periodic evidence pack</w:t>
            </w:r>
          </w:p>
        </w:tc>
        <w:tc>
          <w:tcPr/>
          <w:p>
            <w:pPr>
              <w:pStyle w:val="Compact"/>
            </w:pPr>
            <w:r>
              <w:t xml:space="preserve">Quarterly inventory, policy, vulnerability, incident-sample bundle</w:t>
            </w:r>
          </w:p>
        </w:tc>
      </w:tr>
    </w:tbl>
    <w:bookmarkEnd w:id="16"/>
    <w:bookmarkStart w:id="17" w:name="evidence-collection-approach"/>
    <w:p>
      <w:pPr>
        <w:pStyle w:val="Heading2"/>
      </w:pPr>
      <w:r>
        <w:t xml:space="preserve">Evidence Collection Approach</w:t>
      </w:r>
    </w:p>
    <w:p>
      <w:pPr>
        <w:pStyle w:val="FirstParagraph"/>
      </w:pPr>
      <w:r>
        <w:t xml:space="preserve">The table below describes per-topic evidence collection - what to collect, the CSW source area, and a suggested cadence. The cadence should be tuned to the customer’s audit cycle, regulatory cadence, and risk appetite.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Topic</w:t>
            </w:r>
          </w:p>
        </w:tc>
        <w:tc>
          <w:tcPr/>
          <w:p>
            <w:pPr>
              <w:pStyle w:val="Compact"/>
            </w:pPr>
            <w:r>
              <w:t xml:space="preserve">What to collect</w:t>
            </w:r>
          </w:p>
        </w:tc>
        <w:tc>
          <w:tcPr/>
          <w:p>
            <w:pPr>
              <w:pStyle w:val="Compact"/>
            </w:pPr>
            <w:r>
              <w:t xml:space="preserve">CSW source</w:t>
            </w:r>
          </w:p>
        </w:tc>
        <w:tc>
          <w:tcPr/>
          <w:p>
            <w:pPr>
              <w:pStyle w:val="Compact"/>
            </w:pPr>
            <w:r>
              <w:t xml:space="preserve">Suggested cadence</w:t>
            </w:r>
          </w:p>
        </w:tc>
      </w:tr>
      <w:tr>
        <w:tc>
          <w:tcPr/>
          <w:p>
            <w:pPr>
              <w:pStyle w:val="Compact"/>
            </w:pPr>
            <w:r>
              <w:t xml:space="preserve">Critical-system inventory</w:t>
            </w:r>
          </w:p>
        </w:tc>
        <w:tc>
          <w:tcPr/>
          <w:p>
            <w:pPr>
              <w:pStyle w:val="Compact"/>
            </w:pPr>
            <w:r>
              <w:t xml:space="preserve">Inventory export with scope, labels, and lifecycle</w:t>
            </w:r>
          </w:p>
        </w:tc>
        <w:tc>
          <w:tcPr/>
          <w:p>
            <w:pPr>
              <w:pStyle w:val="Compact"/>
            </w:pPr>
            <w:r>
              <w:t xml:space="preserve">Workload inventory + scope membership export</w:t>
            </w:r>
          </w:p>
        </w:tc>
        <w:tc>
          <w:tcPr/>
          <w:p>
            <w:pPr>
              <w:pStyle w:val="Compact"/>
            </w:pPr>
            <w:r>
              <w:t xml:space="preserve">Monthly</w:t>
            </w:r>
          </w:p>
        </w:tc>
      </w:tr>
      <w:tr>
        <w:tc>
          <w:tcPr/>
          <w:p>
            <w:pPr>
              <w:pStyle w:val="Compact"/>
            </w:pPr>
            <w:r>
              <w:t xml:space="preserve">Approved vs. observed flows</w:t>
            </w:r>
          </w:p>
        </w:tc>
        <w:tc>
          <w:tcPr/>
          <w:p>
            <w:pPr>
              <w:pStyle w:val="Compact"/>
            </w:pPr>
            <w:r>
              <w:t xml:space="preserve">ADM output vs. enforced policy</w:t>
            </w:r>
          </w:p>
        </w:tc>
        <w:tc>
          <w:tcPr/>
          <w:p>
            <w:pPr>
              <w:pStyle w:val="Compact"/>
            </w:pPr>
            <w:r>
              <w:t xml:space="preserve">ADM workspace export</w:t>
            </w:r>
          </w:p>
        </w:tc>
        <w:tc>
          <w:tcPr/>
          <w:p>
            <w:pPr>
              <w:pStyle w:val="Compact"/>
            </w:pPr>
            <w:r>
              <w:t xml:space="preserve">Quarterly</w:t>
            </w:r>
          </w:p>
        </w:tc>
      </w:tr>
      <w:tr>
        <w:tc>
          <w:tcPr/>
          <w:p>
            <w:pPr>
              <w:pStyle w:val="Compact"/>
            </w:pPr>
            <w:r>
              <w:t xml:space="preserve">Policy enforcement evidence</w:t>
            </w:r>
          </w:p>
        </w:tc>
        <w:tc>
          <w:tcPr/>
          <w:p>
            <w:pPr>
              <w:pStyle w:val="Compact"/>
            </w:pPr>
            <w:r>
              <w:t xml:space="preserve">Workspace snapshot + violation log</w:t>
            </w:r>
          </w:p>
        </w:tc>
        <w:tc>
          <w:tcPr/>
          <w:p>
            <w:pPr>
              <w:pStyle w:val="Compact"/>
            </w:pPr>
            <w:r>
              <w:t xml:space="preserve">Policy workspace export and policy analysis output</w:t>
            </w:r>
          </w:p>
        </w:tc>
        <w:tc>
          <w:tcPr/>
          <w:p>
            <w:pPr>
              <w:pStyle w:val="Compact"/>
            </w:pPr>
            <w:r>
              <w:t xml:space="preserve">Quarterly + after each change</w:t>
            </w:r>
          </w:p>
        </w:tc>
      </w:tr>
      <w:tr>
        <w:tc>
          <w:tcPr/>
          <w:p>
            <w:pPr>
              <w:pStyle w:val="Compact"/>
            </w:pPr>
            <w:r>
              <w:t xml:space="preserve">Vulnerability + reachability</w:t>
            </w:r>
          </w:p>
        </w:tc>
        <w:tc>
          <w:tcPr/>
          <w:p>
            <w:pPr>
              <w:pStyle w:val="Compact"/>
            </w:pPr>
            <w:r>
              <w:t xml:space="preserve">CVE list weighted by reach into Critical-Systems</w:t>
            </w:r>
          </w:p>
        </w:tc>
        <w:tc>
          <w:tcPr/>
          <w:p>
            <w:pPr>
              <w:pStyle w:val="Compact"/>
            </w:pPr>
            <w:r>
              <w:t xml:space="preserve">Vulnerability report scoped to MAS-TRM</w:t>
            </w:r>
          </w:p>
        </w:tc>
        <w:tc>
          <w:tcPr/>
          <w:p>
            <w:pPr>
              <w:pStyle w:val="Compact"/>
            </w:pPr>
            <w:r>
              <w:t xml:space="preserve">Monthly</w:t>
            </w:r>
          </w:p>
        </w:tc>
      </w:tr>
      <w:tr>
        <w:tc>
          <w:tcPr/>
          <w:p>
            <w:pPr>
              <w:pStyle w:val="Compact"/>
            </w:pPr>
            <w:r>
              <w:t xml:space="preserve">Third-party egress reconciliation</w:t>
            </w:r>
          </w:p>
        </w:tc>
        <w:tc>
          <w:tcPr/>
          <w:p>
            <w:pPr>
              <w:pStyle w:val="Compact"/>
            </w:pPr>
            <w:r>
              <w:t xml:space="preserve">Outbound flow to vendor endpoints</w:t>
            </w:r>
          </w:p>
        </w:tc>
        <w:tc>
          <w:tcPr/>
          <w:p>
            <w:pPr>
              <w:pStyle w:val="Compact"/>
            </w:pPr>
            <w:r>
              <w:t xml:space="preserve">Flow search filtered to outsourced endpoints</w:t>
            </w:r>
          </w:p>
        </w:tc>
        <w:tc>
          <w:tcPr/>
          <w:p>
            <w:pPr>
              <w:pStyle w:val="Compact"/>
            </w:pPr>
            <w:r>
              <w:t xml:space="preserve">Monthly</w:t>
            </w:r>
          </w:p>
        </w:tc>
      </w:tr>
      <w:tr>
        <w:tc>
          <w:tcPr/>
          <w:p>
            <w:pPr>
              <w:pStyle w:val="Compact"/>
            </w:pPr>
            <w:r>
              <w:t xml:space="preserve">Incident sample</w:t>
            </w:r>
          </w:p>
        </w:tc>
        <w:tc>
          <w:tcPr/>
          <w:p>
            <w:pPr>
              <w:pStyle w:val="Compact"/>
            </w:pPr>
            <w:r>
              <w:t xml:space="preserve">Workload-level timeline for one representative incident</w:t>
            </w:r>
          </w:p>
        </w:tc>
        <w:tc>
          <w:tcPr/>
          <w:p>
            <w:pPr>
              <w:pStyle w:val="Compact"/>
            </w:pPr>
            <w:r>
              <w:t xml:space="preserve">Flow + process search</w:t>
            </w:r>
          </w:p>
        </w:tc>
        <w:tc>
          <w:tcPr/>
          <w:p>
            <w:pPr>
              <w:pStyle w:val="Compact"/>
            </w:pPr>
            <w:r>
              <w:t xml:space="preserve">Per incident; one representative sample per audit cycle</w:t>
            </w:r>
          </w:p>
        </w:tc>
      </w:tr>
    </w:tbl>
    <w:bookmarkEnd w:id="17"/>
    <w:bookmarkStart w:id="18" w:name="pov-workshop-approach"/>
    <w:p>
      <w:pPr>
        <w:pStyle w:val="Heading2"/>
      </w:pPr>
      <w:r>
        <w:t xml:space="preserve">POV / Workshop Approach</w:t>
      </w:r>
    </w:p>
    <w:p>
      <w:pPr>
        <w:pStyle w:val="Compact"/>
        <w:numPr>
          <w:ilvl w:val="0"/>
          <w:numId w:val="1003"/>
        </w:numPr>
      </w:pPr>
      <w:r>
        <w:t xml:space="preserve">Confirm the framework version and assessment cycle with the customer’s compliance team.</w:t>
      </w:r>
    </w:p>
    <w:p>
      <w:pPr>
        <w:pStyle w:val="Compact"/>
        <w:numPr>
          <w:ilvl w:val="0"/>
          <w:numId w:val="1003"/>
        </w:numPr>
      </w:pPr>
      <w:r>
        <w:t xml:space="preserve">Select one business service, regulated boundary, or critical workload group to start with; do not attempt to instrument the entire estate in the POV.</w:t>
      </w:r>
    </w:p>
    <w:p>
      <w:pPr>
        <w:pStyle w:val="Compact"/>
        <w:numPr>
          <w:ilvl w:val="0"/>
          <w:numId w:val="1003"/>
        </w:numPr>
      </w:pPr>
      <w:r>
        <w:t xml:space="preserve">Validate workload coverage and install sensors or configure supported connectors. Document the cannot-instrument register; this is itself evidence.</w:t>
      </w:r>
    </w:p>
    <w:p>
      <w:pPr>
        <w:pStyle w:val="Compact"/>
        <w:numPr>
          <w:ilvl w:val="0"/>
          <w:numId w:val="1003"/>
        </w:numPr>
      </w:pPr>
      <w:r>
        <w:t xml:space="preserve">Apply labels for application, environment, owner, data class, criticality, compliance scope, and any framework-specific tags (e.g. </w:t>
      </w:r>
      <w:r>
        <w:rPr>
          <w:rStyle w:val="VerbatimChar"/>
        </w:rPr>
        <w:t xml:space="preserve">tenant</w:t>
      </w:r>
      <w:r>
        <w:t xml:space="preserve">,</w:t>
      </w:r>
      <w:r>
        <w:t xml:space="preserve"> </w:t>
      </w:r>
      <w:r>
        <w:rPr>
          <w:rStyle w:val="VerbatimChar"/>
        </w:rPr>
        <w:t xml:space="preserve">prototype</w:t>
      </w:r>
      <w:r>
        <w:t xml:space="preserve">,</w:t>
      </w:r>
      <w:r>
        <w:t xml:space="preserve"> </w:t>
      </w:r>
      <w:r>
        <w:rPr>
          <w:rStyle w:val="VerbatimChar"/>
        </w:rPr>
        <w:t xml:space="preserve">isa_level</w:t>
      </w:r>
      <w:r>
        <w:t xml:space="preserve">,</w:t>
      </w:r>
      <w:r>
        <w:t xml:space="preserve"> </w:t>
      </w:r>
      <w:r>
        <w:rPr>
          <w:rStyle w:val="VerbatimChar"/>
        </w:rPr>
        <w:t xml:space="preserve">npi</w:t>
      </w:r>
      <w:r>
        <w:t xml:space="preserve">,</w:t>
      </w:r>
      <w:r>
        <w:t xml:space="preserve"> </w:t>
      </w:r>
      <w:r>
        <w:rPr>
          <w:rStyle w:val="VerbatimChar"/>
        </w:rPr>
        <w:t xml:space="preserve">cui</w:t>
      </w:r>
      <w:r>
        <w:t xml:space="preserve">,</w:t>
      </w:r>
      <w:r>
        <w:t xml:space="preserve"> </w:t>
      </w:r>
      <w:r>
        <w:rPr>
          <w:rStyle w:val="VerbatimChar"/>
        </w:rPr>
        <w:t xml:space="preserve">ephi</w:t>
      </w:r>
      <w:r>
        <w:t xml:space="preserve">).</w:t>
      </w:r>
    </w:p>
    <w:p>
      <w:pPr>
        <w:pStyle w:val="Compact"/>
        <w:numPr>
          <w:ilvl w:val="0"/>
          <w:numId w:val="1003"/>
        </w:numPr>
      </w:pPr>
      <w:r>
        <w:t xml:space="preserve">Observe flows over a representative business window. Minimum two weeks; longer if the customer has month-end, quarterly, or seasonal cycles relevant to the scope.</w:t>
      </w:r>
    </w:p>
    <w:p>
      <w:pPr>
        <w:pStyle w:val="Compact"/>
        <w:numPr>
          <w:ilvl w:val="0"/>
          <w:numId w:val="1003"/>
        </w:numPr>
      </w:pPr>
      <w:r>
        <w:t xml:space="preserve">Use ADM to generate a candidate policy. Review with the application owner. Run in Simulation mode for at least two weeks before any enforcement.</w:t>
      </w:r>
    </w:p>
    <w:p>
      <w:pPr>
        <w:pStyle w:val="Compact"/>
        <w:numPr>
          <w:ilvl w:val="0"/>
          <w:numId w:val="1003"/>
        </w:numPr>
      </w:pPr>
      <w:r>
        <w:t xml:space="preserve">Package inventory, scope, flows, policy, exceptions, and known gaps as the evidence output. Cross-reference this report’s evidence collection table with the customer’s existing audit work-papers.</w:t>
      </w:r>
    </w:p>
    <w:bookmarkEnd w:id="18"/>
    <w:bookmarkStart w:id="19" w:name="boundaries-and-complementary-controls"/>
    <w:p>
      <w:pPr>
        <w:pStyle w:val="Heading2"/>
      </w:pPr>
      <w:r>
        <w:t xml:space="preserve">Boundaries and Complementary Controls</w:t>
      </w:r>
    </w:p>
    <w:p>
      <w:pPr>
        <w:pStyle w:val="FirstParagraph"/>
      </w:pPr>
      <w:r>
        <w:t xml:space="preserve">CSW does not replace MAS-level governance, board / senior-management accountability, the technology risk management framework, BCP/DR, IAM/PAM, cryptography programme decisions, outsourcing due diligence, or regulatory notification decisions.</w:t>
      </w:r>
    </w:p>
    <w:bookmarkEnd w:id="19"/>
    <w:bookmarkStart w:id="20" w:name="assessor-auditor-caveat"/>
    <w:p>
      <w:pPr>
        <w:pStyle w:val="Heading2"/>
      </w:pPr>
      <w:r>
        <w:t xml:space="preserve">Assessor / Auditor Caveat</w:t>
      </w:r>
    </w:p>
    <w:p>
      <w:pPr>
        <w:pStyle w:val="FirstParagraph"/>
      </w:pPr>
      <w:r>
        <w:t xml:space="preserve">CSW provides technical evidence inputs. The customer’s qualified assessor, auditor, certifying body, or regulator determines compliance status. Validate all framework-topic mappings, control IDs, paragraph references, and section numbers in this report against the current official framework text. If the customer is being assessed against a version other than the one referenced in the framework version note above, revalidate before use.</w:t>
      </w:r>
    </w:p>
    <w:bookmarkEnd w:id="20"/>
    <w:bookmarkStart w:id="21" w:name="disclaimer"/>
    <w:p>
      <w:pPr>
        <w:pStyle w:val="Heading2"/>
      </w:pPr>
      <w:r>
        <w:t xml:space="preserve">Disclaimer</w:t>
      </w:r>
    </w:p>
    <w:p>
      <w:pPr>
        <w:pStyle w:val="FirstParagraph"/>
      </w:pPr>
      <w:r>
        <w:t xml:space="preserve">This report is for informational and planning purposes. It is not legal, regulatory, audit, or certification advice. Validate all mappings against the current official framework text, the customer’s environment, and qualified compliance, legal, and audit professionals.</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Cisco Secure Workload - MAS TRM Compliance Report</dc:title>
  <dc:creator/>
  <cp:keywords/>
  <dcterms:created xsi:type="dcterms:W3CDTF">2026-05-13T18:07:55Z</dcterms:created>
  <dcterms:modified xsi:type="dcterms:W3CDTF">2026-05-13T18:07:55Z</dcterms:modified>
</cp:coreProperties>
</file>

<file path=docProps/custom.xml><?xml version="1.0" encoding="utf-8"?>
<Properties xmlns="http://schemas.openxmlformats.org/officeDocument/2006/custom-properties" xmlns:vt="http://schemas.openxmlformats.org/officeDocument/2006/docPropsVTypes"/>
</file>