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NERC CIP — Compliance Report</w:t>
      </w:r>
    </w:p>
    <w:p>
      <w:pPr>
        <w:pStyle w:val="Subtitle"/>
        <w:rPr/>
      </w:pPr>
      <w:r>
        <w:rPr/>
        <w:t>Cisco Secure Workload | IT-Side Mapping for the Bulk Electric System</w:t>
      </w:r>
    </w:p>
    <w:p>
      <w:pPr>
        <w:pStyle w:val="Author"/>
        <w:rPr/>
      </w:pPr>
      <w:r>
        <w:rPr/>
        <w:t>Cisco Secure Workload — Compliance Mapping Series</w:t>
      </w:r>
    </w:p>
    <w:p>
      <w:pPr>
        <w:pStyle w:val="Date"/>
        <w:rPr/>
      </w:pPr>
      <w:r>
        <w:rPr/>
        <w:t>Version 1.0 (draft — pending SME review)</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Xfec2f7466709b352387b99021bb7799509509d1"/>
      <w:r>
        <w:rPr/>
        <w:t>Cisco Secure Workload — NERC CIP Compliance Mapping</w:t>
      </w:r>
    </w:p>
    <w:p>
      <w:pPr>
        <w:pStyle w:val="Heading2"/>
        <w:rPr/>
      </w:pPr>
      <w:bookmarkStart w:id="1" w:name="how-to-read-this-report"/>
      <w:r>
        <w:rPr/>
        <w:t>How to read this report</w:t>
      </w:r>
    </w:p>
    <w:p>
      <w:pPr>
        <w:pStyle w:val="FirstParagraph"/>
        <w:rPr/>
      </w:pPr>
      <w:r>
        <w:rPr/>
        <w:t xml:space="preserve">This report describes how Cisco Secure Workload (CSW) supports a Registered Entity’s compliance posture against the NERC Critical Infrastructure Protection (CIP) Reliability Standards on the </w:t>
      </w:r>
      <w:r>
        <w:rPr>
          <w:b/>
          <w:bCs/>
        </w:rPr>
        <w:t>IT side</w:t>
      </w:r>
      <w:r>
        <w:rPr/>
        <w:t xml:space="preserve"> of the IT/OT boundary.</w:t>
      </w:r>
    </w:p>
    <w:p>
      <w:pPr>
        <w:pStyle w:val="BodyText"/>
        <w:rPr/>
      </w:pPr>
      <w:r>
        <w:rPr>
          <w:b/>
          <w:bCs/>
        </w:rPr>
        <w:t>Scope statement up front.</w:t>
      </w:r>
      <w:r>
        <w:rPr/>
        <w:t xml:space="preserve"> CSW is a workload-protection and segmentation platform for IT estate — servers, virtual machines, containers, and cloud workloads. CSW does </w:t>
      </w:r>
      <w:r>
        <w:rPr>
          <w:b/>
          <w:bCs/>
        </w:rPr>
        <w:t>not</w:t>
      </w:r>
      <w:r>
        <w:rPr/>
        <w:t xml:space="preserve"> enforce policy on PLCs, RTUs, relays, IEDs, HMIs, or any other Level 0–2 OT device. CSW’s NERC CIP contribution is at the </w:t>
      </w:r>
      <w:r>
        <w:rPr>
          <w:b/>
          <w:bCs/>
        </w:rPr>
        <w:t>IT-side of the ESP boundary and within the Electronic Access Control or Monitoring Systems (EACMS) and Physical Access Control Systems (PACS) supporting infrastructure</w:t>
      </w:r>
      <w:r>
        <w:rPr/>
        <w:t xml:space="preserve"> — jump hosts, identity/PKI servers, vendor-access hosts, patch repositories, engineering workstations, historian/MES databases, and the corporate IT systems that touch BES Cyber System Information (BCSI). For controls inside the ESP at the OT device layer, your ICS/SCADA security stack and your ESP-boundary firewall arrangement remain the controlling artefacts.</w:t>
      </w:r>
    </w:p>
    <w:p>
      <w:pPr>
        <w:pStyle w:val="BodyText"/>
        <w:rPr/>
      </w:pPr>
      <w:r>
        <w:rPr>
          <w:b/>
          <w:bCs/>
        </w:rPr>
        <w:t>Companion document.</w:t>
      </w:r>
      <w:r>
        <w:rPr/>
        <w:t xml:space="preserve"> The accompanying </w:t>
      </w:r>
      <w:r>
        <w:rPr>
          <w:i/>
          <w:iCs/>
        </w:rPr>
        <w:t>NERC CIP Technical Runbook</w:t>
      </w:r>
      <w:r>
        <w:rPr/>
        <w:t xml:space="preserve"> walks through deployment, scoping, ESP-boundary design, IRA enforcement, CIP-007/010 evidence collection, and CIP-013 supply- chain visibility on the IT side. Read this report for the audit- narrative view; read the runbook for the deployment view.</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pPr>
      <w:r>
        <w:t>How to read the coverage words</w:t>
      </w:r>
    </w:p>
    <w:p>
      <w:pPr/>
      <w:r>
        <w:rPr>
          <w:b/>
        </w:rPr>
        <w:t>Full Coverage</w:t>
      </w:r>
      <w:r>
        <w:t xml:space="preserve"> on the older reports means Secure Workload can produce that row's artifact. It does not mean the control is met.</w:t>
      </w:r>
    </w:p>
    <w:p>
      <w:pPr/>
      <w:r>
        <w:rPr>
          <w:b/>
        </w:rPr>
        <w:t>Partial Coverage</w:t>
      </w:r>
      <w:r>
        <w:t xml:space="preserve"> means file that export next to another control.</w:t>
      </w:r>
    </w:p>
    <w:p>
      <w:pPr/>
      <w:r>
        <w:rPr>
          <w:b/>
        </w:rPr>
        <w:t>Evidence Required</w:t>
      </w:r>
      <w:r>
        <w:t xml:space="preserve"> means Secure Workload has no record. The customer files the contract, the analysis, or the HR or physical-security evidence.</w:t>
      </w:r>
    </w:p>
    <w:p>
      <w:pPr/>
      <w:r>
        <w:rPr>
          <w:b/>
        </w:rPr>
        <w:t>Direct, Supporting, and Out of scope</w:t>
      </w:r>
      <w:r>
        <w:t xml:space="preserve"> on the newer reports are the same idea in different words. Direct is still evidence, not a pass.</w:t>
      </w:r>
    </w:p>
    <w:p>
      <w:pPr>
        <w:pStyle w:val="Heading2"/>
        <w:rPr/>
      </w:pPr>
      <w:bookmarkStart w:id="2" w:name="executive-summary"/>
      <w:r>
        <w:rPr/>
        <w:t>1. Executive Summary</w:t>
      </w:r>
    </w:p>
    <w:p>
      <w:pPr>
        <w:pStyle w:val="FirstParagraph"/>
        <w:rPr/>
      </w:pPr>
      <w:r>
        <w:rPr/>
        <w:t>NERC CIP cybersecurity requirements apply to Registered Entities operating the Bulk Electric System in North America. The standards have moved decisively since 2020 toward continuous evidence, automated configuration baselining, and supply-chain visibility — all areas where workload-level segmentation and telemetry produce materially better RSAW responses than network-firewall logs alone.</w:t>
      </w:r>
    </w:p>
    <w:p>
      <w:pPr>
        <w:pStyle w:val="BodyText"/>
        <w:rPr/>
      </w:pPr>
      <w:r>
        <w:rPr>
          <w:b/>
          <w:bCs/>
        </w:rPr>
        <w:t>What CSW changes for a NERC CIP programme:</w:t>
      </w:r>
    </w:p>
    <w:p>
      <w:pPr>
        <w:pStyle w:val="Compact"/>
        <w:numPr>
          <w:ilvl w:val="0"/>
          <w:numId w:val="1"/>
        </w:numPr>
        <w:rPr/>
      </w:pPr>
      <w:r>
        <w:rPr>
          <w:b/>
          <w:bCs/>
        </w:rPr>
        <w:t>CIP-005 R1 IT-side hardening.</w:t>
      </w:r>
      <w:r>
        <w:rPr/>
        <w:t xml:space="preserve"> The ESP boundary firewall remains your EAP, but CSW enforces deny-by-default </w:t>
      </w:r>
      <w:r>
        <w:rPr>
          <w:i/>
          <w:iCs/>
        </w:rPr>
        <w:t>up to</w:t>
      </w:r>
      <w:r>
        <w:rPr/>
        <w:t xml:space="preserve"> that boundary from the corporate IT side. The undocumented-pivot risk that has driven several past enforcement actions is structurally removed.</w:t>
      </w:r>
    </w:p>
    <w:p>
      <w:pPr>
        <w:pStyle w:val="Compact"/>
        <w:numPr>
          <w:ilvl w:val="0"/>
          <w:numId w:val="1"/>
        </w:numPr>
        <w:rPr/>
      </w:pPr>
      <w:r>
        <w:rPr>
          <w:b/>
          <w:bCs/>
        </w:rPr>
        <w:t>CIP-005 R2 Interactive Remote Access evidence.</w:t>
      </w:r>
      <w:r>
        <w:rPr/>
        <w:t xml:space="preserve"> Per-session flow attribution from the Intermediate System out to the BES Cyber Asset, retained for the audit window, with no forensic gaps.</w:t>
      </w:r>
    </w:p>
    <w:p>
      <w:pPr>
        <w:pStyle w:val="Compact"/>
        <w:numPr>
          <w:ilvl w:val="0"/>
          <w:numId w:val="1"/>
        </w:numPr>
        <w:rPr/>
      </w:pPr>
      <w:r>
        <w:rPr>
          <w:b/>
          <w:bCs/>
        </w:rPr>
        <w:t>CIP-007 R1 Ports and Services evidence.</w:t>
      </w:r>
      <w:r>
        <w:rPr/>
        <w:t xml:space="preserve"> Per-workload listening- port inventory with last-observed-flow timestamp, cross-referenced to the documented baseline, dated quarterly.</w:t>
      </w:r>
    </w:p>
    <w:p>
      <w:pPr>
        <w:pStyle w:val="Compact"/>
        <w:numPr>
          <w:ilvl w:val="0"/>
          <w:numId w:val="1"/>
        </w:numPr>
        <w:rPr/>
      </w:pPr>
      <w:r>
        <w:rPr>
          <w:b/>
          <w:bCs/>
        </w:rPr>
        <w:t>CIP-010 R1.5 Configuration Change Management.</w:t>
      </w:r>
      <w:r>
        <w:rPr/>
        <w:t xml:space="preserve"> Daily diff of installed software and listening ports, with disposition column tying back to your change-management ticketing system. Orphan changes (CSW-detected but ticket-absent) become unauthorised- change candidates.</w:t>
      </w:r>
    </w:p>
    <w:p>
      <w:pPr>
        <w:pStyle w:val="Compact"/>
        <w:numPr>
          <w:ilvl w:val="0"/>
          <w:numId w:val="1"/>
        </w:numPr>
        <w:rPr/>
      </w:pPr>
      <w:r>
        <w:rPr>
          <w:b/>
          <w:bCs/>
        </w:rPr>
        <w:t>CIP-010 R3 Vulnerability Assessments.</w:t>
      </w:r>
      <w:r>
        <w:rPr/>
        <w:t xml:space="preserve"> Continuous CVE inventory per workload with CVSS, exploit-availability, and EPSS context; cadence-based exports satisfy R3.1 active VA evidence for High- impact assets.</w:t>
      </w:r>
    </w:p>
    <w:p>
      <w:pPr>
        <w:pStyle w:val="Compact"/>
        <w:numPr>
          <w:ilvl w:val="0"/>
          <w:numId w:val="1"/>
        </w:numPr>
        <w:rPr/>
      </w:pPr>
      <w:r>
        <w:rPr>
          <w:b/>
          <w:bCs/>
        </w:rPr>
        <w:t>CIP-013 R1 Supply Chain Risk Management.</w:t>
      </w:r>
      <w:r>
        <w:rPr/>
        <w:t xml:space="preserve"> Vendor-egress observation against your vendor register, with allowlist enforcement on EACMS and immediate alerting on new external destinations.</w:t>
      </w:r>
    </w:p>
    <w:p>
      <w:pPr>
        <w:pStyle w:val="FirstParagraph"/>
        <w:rPr/>
      </w:pPr>
      <w:r>
        <w:rPr>
          <w:b/>
          <w:bCs/>
        </w:rPr>
        <w:t>What CSW does not change.</w:t>
      </w:r>
      <w:r>
        <w:rPr/>
        <w:t xml:space="preserve"> CSW does not perform CIP-002 categorisation, does not act as an EAP, does not enforce on OT devices, and does not replace the CIP Senior Manager’s accountability under CIP-003. It is the IT-side evidence engine that those governance artefacts depend on.</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compliance-posture-summary"/>
      <w:r>
        <w:rPr/>
        <w:t>2. Compliance Posture Summary</w:t>
      </w:r>
    </w:p>
    <w:p>
      <w:pPr>
        <w:pStyle w:val="FirstParagraph"/>
        <w:rPr/>
      </w:pPr>
      <w:r>
        <w:rPr/>
        <w:t>The following table summarises CSW’s contribution to each in-scope NERC CIP standard. Coverage is rated as:</w:t>
      </w:r>
    </w:p>
    <w:p>
      <w:pPr>
        <w:pStyle w:val="Compact"/>
        <w:numPr>
          <w:ilvl w:val="0"/>
          <w:numId w:val="1"/>
        </w:numPr>
        <w:rPr/>
      </w:pPr>
      <w:r>
        <w:rPr>
          <w:b/>
          <w:bCs/>
        </w:rPr>
        <w:t>Direct</w:t>
      </w:r>
      <w:r>
        <w:rPr/>
        <w:t xml:space="preserve"> — CSW is the primary technical control or evidence source for the requirement on the IT side.</w:t>
      </w:r>
    </w:p>
    <w:p>
      <w:pPr>
        <w:pStyle w:val="Compact"/>
        <w:numPr>
          <w:ilvl w:val="0"/>
          <w:numId w:val="1"/>
        </w:numPr>
        <w:rPr/>
      </w:pPr>
      <w:r>
        <w:rPr>
          <w:b/>
          <w:bCs/>
        </w:rPr>
        <w:t>Supporting</w:t>
      </w:r>
      <w:r>
        <w:rPr/>
        <w:t xml:space="preserve"> — CSW supplements another control with evidence or enforcement that strengthens the audit response.</w:t>
      </w:r>
    </w:p>
    <w:p>
      <w:pPr>
        <w:pStyle w:val="Compact"/>
        <w:numPr>
          <w:ilvl w:val="0"/>
          <w:numId w:val="1"/>
        </w:numPr>
        <w:rPr/>
      </w:pPr>
      <w:r>
        <w:rPr>
          <w:b/>
          <w:bCs/>
        </w:rPr>
        <w:t>Out of scope</w:t>
      </w:r>
      <w:r>
        <w:rPr/>
        <w:t xml:space="preserve"> — CSW does not address the requirement; relies on other parts of the cyber programme (HR, physical, governance, OT controls).</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Standard</w:t>
            </w:r>
          </w:p>
        </w:tc>
        <w:tc>
          <w:tcPr>
            <w:tcW w:w="234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Topic</w:t>
            </w:r>
          </w:p>
        </w:tc>
        <w:tc>
          <w:tcPr>
            <w:tcW w:w="234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Coverage</w:t>
            </w:r>
          </w:p>
        </w:tc>
        <w:tc>
          <w:tcPr>
            <w:tcW w:w="2341"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CSW contribution</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CIP-002</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BES Cyber System Categorisation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Supporting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Inventory + scope labelling for CSW-managed workloads in the EACMS / PACS-supporting / BCSI-host tier; cross-reference to your CIP-002 register</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Security Management Controls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Supporting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evidence pack to the CIP Senior Manager covering CIP-005/007/010/013 IT-side outputs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CIP-004</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Personnel &amp; Training</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Out of scope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HR/training process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CIP-005 R1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Electronic Security Perimeter</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 (IT-side)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Per-facility IT-side enclave segmentation; deny-by-default from corporate IT to EAP-IP set; documented exception list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CIP-005 R2</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Interactive Remote Access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 (IT-side)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Intermediate-system enforcement; per-session flow telemetry; weekly IRA-pattern report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CIP-006</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Physical Security</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Out of scope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Physical / PACS process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CIP-007 R1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Ports and Services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Per-workload listening-port inventory with last-flow timestamp; quarterly evidence pack</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CIP-007 R2</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Patch Management</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Supporting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Continuous CVE inventory feeds the patch programme; CSW does not deploy patches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CIP-007 R3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Malicious Code Prevention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 (IT-side)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Behavioural rules + simulation→enforcement progression; layered with endpoint AV</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CIP-007 R4</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Security Event Monitoring</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 (IT-side)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Process + flow telemetry to SIEM with documented retention</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CIP-008</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Incident Reporting and Response</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 (evidence)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Six-artefact reconstruction bundle for every incident; supports E-ISAC notification under R4</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CIP-009</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Recovery Plans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Supporting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Policy and baseline export for DR; not the recovery executor itself</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CIP-010 R1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Configuration Baseline</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Daily software + listening-port baseline with diff and disposition</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CIP-010 R3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Vulnerability Assessments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Continuous CVE inventory; cadence-based active-VA evidence for High-impact assets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CIP-011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Information Protection (BCSI)</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Supporting</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Egress and access pattern monitoring on BCSI-host workloads; layered with DLP and identity controls</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CIP-013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Supply Chain Risk Management</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Direct (technical lens)</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Vendor-egress observation, register reconciliation, EACMS allowlisting</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CIP-014</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Physical Security (transmission)</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Out of scope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Physical / CCTV scope</w:t>
            </w:r>
          </w:p>
        </w:tc>
      </w:tr>
    </w:tbl>
    <w:p>
      <w:pPr>
        <w:pStyle w:val="BodyText"/>
        <w:rPr/>
      </w:pPr>
      <w:r>
        <w:rPr>
          <w:b/>
        </w:rPr>
        <w:t xml:space="preserve">Posture takeaway. </w:t>
      </w:r>
      <w:r>
        <w:t>The table above is the programme-role view: Direct, Supporting, or out of scope. It leaves out CIP-007 R5 (system access control), CIP-012 (communications between Control Centers), and CIP-015 (internal network security monitoring). The Control Coverage Summary below is the evidence view for every in-scope requirement, including those three. Full Coverage is CIP-007 R1 and CIP-010 R1 on instrumented IT-side workloads. Partial Coverage is where Secure Workload supplies one slice and another control completes the requirement. Evidence Required, with no Secure Workload artifact, is CIP-004, CIP-006, and CIP-014.</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2"/>
      </w:pPr>
      <w:r>
        <w:t>Control Coverage Summary</w:t>
      </w:r>
    </w:p>
    <w:p>
      <w:pPr>
        <w:pStyle w:val="FirstParagraph"/>
      </w:pPr>
      <w:r>
        <w:t>Use this table when an auditor asks what Secure Workload can put in the evidence file for each requirement. The ratings apply to IT-side workloads in the agreed scope that have a reporting sensor. They are evidence contributions. They are not a finding that the Registered Entity is compliant, and they do not make Secure Workload an Electronic Access Point or an OT control.</w:t>
      </w:r>
    </w:p>
    <w:p>
      <w:pPr>
        <w:pStyle w:val="Compact"/>
      </w:pPr>
      <w:r>
        <w:rPr>
          <w:b/>
        </w:rPr>
        <w:t xml:space="preserve">Full Coverage. </w:t>
      </w:r>
      <w:r>
        <w:t>On instrumented IT-side workloads, export the artifact named in the row and file it against that requirement.</w:t>
      </w:r>
    </w:p>
    <w:p>
      <w:pPr>
        <w:pStyle w:val="Compact"/>
      </w:pPr>
      <w:r>
        <w:rPr>
          <w:b/>
        </w:rPr>
        <w:t xml:space="preserve">Partial Coverage. </w:t>
      </w:r>
      <w:r>
        <w:t>Secure Workload covers the slice in “What Secure Workload produces.” File that export next to the record in “What the entity still files.”</w:t>
      </w:r>
    </w:p>
    <w:p>
      <w:pPr>
        <w:pStyle w:val="Compact"/>
      </w:pPr>
      <w:r>
        <w:rPr>
          <w:b/>
        </w:rPr>
        <w:t xml:space="preserve">Evidence Required. </w:t>
      </w:r>
      <w:r>
        <w:t>Secure Workload does not produce the record. The entity files the document from the programme that owns it.</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Standard</w:t>
            </w:r>
          </w:p>
        </w:tc>
        <w:tc>
          <w:tcPr>
            <w:tcW w:type="dxa" w:w="2340"/>
          </w:tcPr>
          <w:p>
            <w:r/>
            <w:r>
              <w:rPr>
                <w:b/>
              </w:rPr>
              <w:t>What Secure Workload produces</w:t>
            </w:r>
          </w:p>
        </w:tc>
        <w:tc>
          <w:tcPr>
            <w:tcW w:type="dxa" w:w="2340"/>
          </w:tcPr>
          <w:p>
            <w:r/>
            <w:r>
              <w:rPr>
                <w:b/>
              </w:rPr>
              <w:t>What the entity still files</w:t>
            </w:r>
          </w:p>
        </w:tc>
        <w:tc>
          <w:tcPr>
            <w:tcW w:type="dxa" w:w="2340"/>
          </w:tcPr>
          <w:p>
            <w:r/>
            <w:r>
              <w:rPr>
                <w:b/>
              </w:rPr>
              <w:t>Coverage</w:t>
            </w:r>
          </w:p>
        </w:tc>
      </w:tr>
      <w:tr>
        <w:tc>
          <w:tcPr>
            <w:tcW w:type="dxa" w:w="2340"/>
          </w:tcPr>
          <w:p>
            <w:r/>
            <w:r>
              <w:t>CIP-002</w:t>
            </w:r>
          </w:p>
        </w:tc>
        <w:tc>
          <w:tcPr>
            <w:tcW w:type="dxa" w:w="2340"/>
          </w:tcPr>
          <w:p>
            <w:r/>
            <w:r>
              <w:t>Labelled inventory (impact, BCS id, ESP membership) that mirrors the categorisation register.</w:t>
            </w:r>
          </w:p>
        </w:tc>
        <w:tc>
          <w:tcPr>
            <w:tcW w:type="dxa" w:w="2340"/>
          </w:tcPr>
          <w:p>
            <w:r/>
            <w:r>
              <w:t>The High, Medium, or Low decision against Attachment 1.</w:t>
            </w:r>
          </w:p>
        </w:tc>
        <w:tc>
          <w:tcPr>
            <w:tcW w:type="dxa" w:w="2340"/>
          </w:tcPr>
          <w:p>
            <w:r/>
            <w:r>
              <w:t>Partial Coverage</w:t>
            </w:r>
          </w:p>
        </w:tc>
      </w:tr>
      <w:tr>
        <w:tc>
          <w:tcPr>
            <w:tcW w:type="dxa" w:w="2340"/>
          </w:tcPr>
          <w:p>
            <w:r/>
            <w:r>
              <w:t>CIP-003</w:t>
            </w:r>
          </w:p>
        </w:tc>
        <w:tc>
          <w:tcPr>
            <w:tcW w:type="dxa" w:w="2340"/>
          </w:tcPr>
          <w:p>
            <w:r/>
            <w:r>
              <w:t>Quarterly IT-side pack for the CIP Senior Manager: policy, ports, baseline, and vendor egress.</w:t>
            </w:r>
          </w:p>
        </w:tc>
        <w:tc>
          <w:tcPr>
            <w:tcW w:type="dxa" w:w="2340"/>
          </w:tcPr>
          <w:p>
            <w:r/>
            <w:r>
              <w:t>The policies, the Senior Manager designation, and the delegations.</w:t>
            </w:r>
          </w:p>
        </w:tc>
        <w:tc>
          <w:tcPr>
            <w:tcW w:type="dxa" w:w="2340"/>
          </w:tcPr>
          <w:p>
            <w:r/>
            <w:r>
              <w:t>Partial Coverage</w:t>
            </w:r>
          </w:p>
        </w:tc>
      </w:tr>
      <w:tr>
        <w:tc>
          <w:tcPr>
            <w:tcW w:type="dxa" w:w="2340"/>
          </w:tcPr>
          <w:p>
            <w:r/>
            <w:r>
              <w:t>CIP-004</w:t>
            </w:r>
          </w:p>
        </w:tc>
        <w:tc>
          <w:tcPr>
            <w:tcW w:type="dxa" w:w="2340"/>
          </w:tcPr>
          <w:p>
            <w:r/>
            <w:r>
              <w:t>No personnel record.</w:t>
            </w:r>
          </w:p>
        </w:tc>
        <w:tc>
          <w:tcPr>
            <w:tcW w:type="dxa" w:w="2340"/>
          </w:tcPr>
          <w:p>
            <w:r/>
            <w:r>
              <w:t>Background checks, training, and access revocation.</w:t>
            </w:r>
          </w:p>
        </w:tc>
        <w:tc>
          <w:tcPr>
            <w:tcW w:type="dxa" w:w="2340"/>
          </w:tcPr>
          <w:p>
            <w:r/>
            <w:r>
              <w:t>Evidence Required</w:t>
            </w:r>
          </w:p>
        </w:tc>
      </w:tr>
      <w:tr>
        <w:tc>
          <w:tcPr>
            <w:tcW w:type="dxa" w:w="2340"/>
          </w:tcPr>
          <w:p>
            <w:r/>
            <w:r>
              <w:t>CIP-005 R1</w:t>
            </w:r>
          </w:p>
        </w:tc>
        <w:tc>
          <w:tcPr>
            <w:tcW w:type="dxa" w:w="2340"/>
          </w:tcPr>
          <w:p>
            <w:r/>
            <w:r>
              <w:t>Deny-by-default from corporate IT up to the EAP address set, and the exception list.</w:t>
            </w:r>
          </w:p>
        </w:tc>
        <w:tc>
          <w:tcPr>
            <w:tcW w:type="dxa" w:w="2340"/>
          </w:tcPr>
          <w:p>
            <w:r/>
            <w:r>
              <w:t>The EAP firewall configuration. Secure Workload is not the Electronic Access Point.</w:t>
            </w:r>
          </w:p>
        </w:tc>
        <w:tc>
          <w:tcPr>
            <w:tcW w:type="dxa" w:w="2340"/>
          </w:tcPr>
          <w:p>
            <w:r/>
            <w:r>
              <w:t>Partial Coverage</w:t>
            </w:r>
          </w:p>
        </w:tc>
      </w:tr>
      <w:tr>
        <w:tc>
          <w:tcPr>
            <w:tcW w:type="dxa" w:w="2340"/>
          </w:tcPr>
          <w:p>
            <w:r/>
            <w:r>
              <w:t>CIP-005 R2</w:t>
            </w:r>
          </w:p>
        </w:tc>
        <w:tc>
          <w:tcPr>
            <w:tcW w:type="dxa" w:w="2340"/>
          </w:tcPr>
          <w:p>
            <w:r/>
            <w:r>
              <w:t>Per-session flows from the Intermediate System for the audit window.</w:t>
            </w:r>
          </w:p>
        </w:tc>
        <w:tc>
          <w:tcPr>
            <w:tcW w:type="dxa" w:w="2340"/>
          </w:tcPr>
          <w:p>
            <w:r/>
            <w:r>
              <w:t>Session encryption and multi-factor authentication on the Intermediate System.</w:t>
            </w:r>
          </w:p>
        </w:tc>
        <w:tc>
          <w:tcPr>
            <w:tcW w:type="dxa" w:w="2340"/>
          </w:tcPr>
          <w:p>
            <w:r/>
            <w:r>
              <w:t>Partial Coverage</w:t>
            </w:r>
          </w:p>
        </w:tc>
      </w:tr>
      <w:tr>
        <w:tc>
          <w:tcPr>
            <w:tcW w:type="dxa" w:w="2340"/>
          </w:tcPr>
          <w:p>
            <w:r/>
            <w:r>
              <w:t>CIP-006</w:t>
            </w:r>
          </w:p>
        </w:tc>
        <w:tc>
          <w:tcPr>
            <w:tcW w:type="dxa" w:w="2340"/>
          </w:tcPr>
          <w:p>
            <w:r/>
            <w:r>
              <w:t>No physical-security record.</w:t>
            </w:r>
          </w:p>
        </w:tc>
        <w:tc>
          <w:tcPr>
            <w:tcW w:type="dxa" w:w="2340"/>
          </w:tcPr>
          <w:p>
            <w:r/>
            <w:r>
              <w:t>The physical security perimeter, badge access, and visitor logs.</w:t>
            </w:r>
          </w:p>
        </w:tc>
        <w:tc>
          <w:tcPr>
            <w:tcW w:type="dxa" w:w="2340"/>
          </w:tcPr>
          <w:p>
            <w:r/>
            <w:r>
              <w:t>Evidence Required</w:t>
            </w:r>
          </w:p>
        </w:tc>
      </w:tr>
      <w:tr>
        <w:tc>
          <w:tcPr>
            <w:tcW w:type="dxa" w:w="2340"/>
          </w:tcPr>
          <w:p>
            <w:r/>
            <w:r>
              <w:t>CIP-007 R1</w:t>
            </w:r>
          </w:p>
        </w:tc>
        <w:tc>
          <w:tcPr>
            <w:tcW w:type="dxa" w:w="2340"/>
          </w:tcPr>
          <w:p>
            <w:r/>
            <w:r>
              <w:t>Listening-port inventory with the bound process and the last-flow time, dated at least quarterly.</w:t>
            </w:r>
          </w:p>
        </w:tc>
        <w:tc>
          <w:tcPr>
            <w:tcW w:type="dxa" w:w="2340"/>
          </w:tcPr>
          <w:p>
            <w:r/>
            <w:r>
              <w:t>Tie each listener to the documented baseline.</w:t>
            </w:r>
          </w:p>
        </w:tc>
        <w:tc>
          <w:tcPr>
            <w:tcW w:type="dxa" w:w="2340"/>
          </w:tcPr>
          <w:p>
            <w:r/>
            <w:r>
              <w:t>Full Coverage</w:t>
            </w:r>
          </w:p>
        </w:tc>
      </w:tr>
      <w:tr>
        <w:tc>
          <w:tcPr>
            <w:tcW w:type="dxa" w:w="2340"/>
          </w:tcPr>
          <w:p>
            <w:r/>
            <w:r>
              <w:t>CIP-007 R2</w:t>
            </w:r>
          </w:p>
        </w:tc>
        <w:tc>
          <w:tcPr>
            <w:tcW w:type="dxa" w:w="2340"/>
          </w:tcPr>
          <w:p>
            <w:r/>
            <w:r>
              <w:t>CVE and package list for software installed on the workload.</w:t>
            </w:r>
          </w:p>
        </w:tc>
        <w:tc>
          <w:tcPr>
            <w:tcW w:type="dxa" w:w="2340"/>
          </w:tcPr>
          <w:p>
            <w:r/>
            <w:r>
              <w:t>The evaluation window, the patch source, and the install record. Secure Workload does not install the patch.</w:t>
            </w:r>
          </w:p>
        </w:tc>
        <w:tc>
          <w:tcPr>
            <w:tcW w:type="dxa" w:w="2340"/>
          </w:tcPr>
          <w:p>
            <w:r/>
            <w:r>
              <w:t>Partial Coverage</w:t>
            </w:r>
          </w:p>
        </w:tc>
      </w:tr>
      <w:tr>
        <w:tc>
          <w:tcPr>
            <w:tcW w:type="dxa" w:w="2340"/>
          </w:tcPr>
          <w:p>
            <w:r/>
            <w:r>
              <w:t>CIP-007 R3</w:t>
            </w:r>
          </w:p>
        </w:tc>
        <w:tc>
          <w:tcPr>
            <w:tcW w:type="dxa" w:w="2340"/>
          </w:tcPr>
          <w:p>
            <w:r/>
            <w:r>
              <w:t>Behavioural-rule catalogue and the simulation-to-enforce record.</w:t>
            </w:r>
          </w:p>
        </w:tc>
        <w:tc>
          <w:tcPr>
            <w:tcW w:type="dxa" w:w="2340"/>
          </w:tcPr>
          <w:p>
            <w:r/>
            <w:r>
              <w:t>The endpoint anti-malware product and its logs.</w:t>
            </w:r>
          </w:p>
        </w:tc>
        <w:tc>
          <w:tcPr>
            <w:tcW w:type="dxa" w:w="2340"/>
          </w:tcPr>
          <w:p>
            <w:r/>
            <w:r>
              <w:t>Partial Coverage</w:t>
            </w:r>
          </w:p>
        </w:tc>
      </w:tr>
      <w:tr>
        <w:tc>
          <w:tcPr>
            <w:tcW w:type="dxa" w:w="2340"/>
          </w:tcPr>
          <w:p>
            <w:r/>
            <w:r>
              <w:t>CIP-007 R4</w:t>
            </w:r>
          </w:p>
        </w:tc>
        <w:tc>
          <w:tcPr>
            <w:tcW w:type="dxa" w:w="2340"/>
          </w:tcPr>
          <w:p>
            <w:r/>
            <w:r>
              <w:t>Process and flow telemetry forwarded to the SIEM.</w:t>
            </w:r>
          </w:p>
        </w:tc>
        <w:tc>
          <w:tcPr>
            <w:tcW w:type="dxa" w:w="2340"/>
          </w:tcPr>
          <w:p>
            <w:r/>
            <w:r>
              <w:t>The alert procedure, the review log, and the retention attestation.</w:t>
            </w:r>
          </w:p>
        </w:tc>
        <w:tc>
          <w:tcPr>
            <w:tcW w:type="dxa" w:w="2340"/>
          </w:tcPr>
          <w:p>
            <w:r/>
            <w:r>
              <w:t>Partial Coverage</w:t>
            </w:r>
          </w:p>
        </w:tc>
      </w:tr>
      <w:tr>
        <w:tc>
          <w:tcPr>
            <w:tcW w:type="dxa" w:w="2340"/>
          </w:tcPr>
          <w:p>
            <w:r/>
            <w:r>
              <w:t>CIP-007 R5</w:t>
            </w:r>
          </w:p>
        </w:tc>
        <w:tc>
          <w:tcPr>
            <w:tcW w:type="dxa" w:w="2340"/>
          </w:tcPr>
          <w:p>
            <w:r/>
            <w:r>
              <w:t>Policy that limits which workloads can reach the authentication services. This requirement was not in the posture table above.</w:t>
            </w:r>
          </w:p>
        </w:tc>
        <w:tc>
          <w:tcPr>
            <w:tcW w:type="dxa" w:w="2340"/>
          </w:tcPr>
          <w:p>
            <w:r/>
            <w:r>
              <w:t>Account inventory, passwords, and multi-factor authentication.</w:t>
            </w:r>
          </w:p>
        </w:tc>
        <w:tc>
          <w:tcPr>
            <w:tcW w:type="dxa" w:w="2340"/>
          </w:tcPr>
          <w:p>
            <w:r/>
            <w:r>
              <w:t>Partial Coverage</w:t>
            </w:r>
          </w:p>
        </w:tc>
      </w:tr>
      <w:tr>
        <w:tc>
          <w:tcPr>
            <w:tcW w:type="dxa" w:w="2340"/>
          </w:tcPr>
          <w:p>
            <w:r/>
            <w:r>
              <w:t>CIP-008</w:t>
            </w:r>
          </w:p>
        </w:tc>
        <w:tc>
          <w:tcPr>
            <w:tcW w:type="dxa" w:w="2340"/>
          </w:tcPr>
          <w:p>
            <w:r/>
            <w:r>
              <w:t>Six-artefact reconstruction bundle for the incident window: flows, processes, policy verdicts, and hosts touched.</w:t>
            </w:r>
          </w:p>
        </w:tc>
        <w:tc>
          <w:tcPr>
            <w:tcW w:type="dxa" w:w="2340"/>
          </w:tcPr>
          <w:p>
            <w:r/>
            <w:r>
              <w:t>The response plan, the plan test, and the E-ISAC notification.</w:t>
            </w:r>
          </w:p>
        </w:tc>
        <w:tc>
          <w:tcPr>
            <w:tcW w:type="dxa" w:w="2340"/>
          </w:tcPr>
          <w:p>
            <w:r/>
            <w:r>
              <w:t>Partial Coverage</w:t>
            </w:r>
          </w:p>
        </w:tc>
      </w:tr>
      <w:tr>
        <w:tc>
          <w:tcPr>
            <w:tcW w:type="dxa" w:w="2340"/>
          </w:tcPr>
          <w:p>
            <w:r/>
            <w:r>
              <w:t>CIP-009</w:t>
            </w:r>
          </w:p>
        </w:tc>
        <w:tc>
          <w:tcPr>
            <w:tcW w:type="dxa" w:w="2340"/>
          </w:tcPr>
          <w:p>
            <w:r/>
            <w:r>
              <w:t>Policy workspace and configuration baseline as a known-good IT-side state.</w:t>
            </w:r>
          </w:p>
        </w:tc>
        <w:tc>
          <w:tcPr>
            <w:tcW w:type="dxa" w:w="2340"/>
          </w:tcPr>
          <w:p>
            <w:r/>
            <w:r>
              <w:t>Backup execution and the recovery test.</w:t>
            </w:r>
          </w:p>
        </w:tc>
        <w:tc>
          <w:tcPr>
            <w:tcW w:type="dxa" w:w="2340"/>
          </w:tcPr>
          <w:p>
            <w:r/>
            <w:r>
              <w:t>Partial Coverage</w:t>
            </w:r>
          </w:p>
        </w:tc>
      </w:tr>
      <w:tr>
        <w:tc>
          <w:tcPr>
            <w:tcW w:type="dxa" w:w="2340"/>
          </w:tcPr>
          <w:p>
            <w:r/>
            <w:r>
              <w:t>CIP-010 R1</w:t>
            </w:r>
          </w:p>
        </w:tc>
        <w:tc>
          <w:tcPr>
            <w:tcW w:type="dxa" w:w="2340"/>
          </w:tcPr>
          <w:p>
            <w:r/>
            <w:r>
              <w:t>Daily software and listening-port baseline, the diff, and a disposition against the change ticket.</w:t>
            </w:r>
          </w:p>
        </w:tc>
        <w:tc>
          <w:tcPr>
            <w:tcW w:type="dxa" w:w="2340"/>
          </w:tcPr>
          <w:p>
            <w:r/>
            <w:r>
              <w:t>The change ticket itself. A change seen here and absent from a ticket is the unauthorised-change candidate.</w:t>
            </w:r>
          </w:p>
        </w:tc>
        <w:tc>
          <w:tcPr>
            <w:tcW w:type="dxa" w:w="2340"/>
          </w:tcPr>
          <w:p>
            <w:r/>
            <w:r>
              <w:t>Full Coverage</w:t>
            </w:r>
          </w:p>
        </w:tc>
      </w:tr>
      <w:tr>
        <w:tc>
          <w:tcPr>
            <w:tcW w:type="dxa" w:w="2340"/>
          </w:tcPr>
          <w:p>
            <w:r/>
            <w:r>
              <w:t>CIP-010 R3</w:t>
            </w:r>
          </w:p>
        </w:tc>
        <w:tc>
          <w:tcPr>
            <w:tcW w:type="dxa" w:w="2340"/>
          </w:tcPr>
          <w:p>
            <w:r/>
            <w:r>
              <w:t>Per-workload CVE inventory.</w:t>
            </w:r>
          </w:p>
        </w:tc>
        <w:tc>
          <w:tcPr>
            <w:tcW w:type="dxa" w:w="2340"/>
          </w:tcPr>
          <w:p>
            <w:r/>
            <w:r>
              <w:t>The entity's active assessment method, the cadence by impact rating, and the mitigation record.</w:t>
            </w:r>
          </w:p>
        </w:tc>
        <w:tc>
          <w:tcPr>
            <w:tcW w:type="dxa" w:w="2340"/>
          </w:tcPr>
          <w:p>
            <w:r/>
            <w:r>
              <w:t>Partial Coverage</w:t>
            </w:r>
          </w:p>
        </w:tc>
      </w:tr>
      <w:tr>
        <w:tc>
          <w:tcPr>
            <w:tcW w:type="dxa" w:w="2340"/>
          </w:tcPr>
          <w:p>
            <w:r/>
            <w:r>
              <w:t>CIP-011</w:t>
            </w:r>
          </w:p>
        </w:tc>
        <w:tc>
          <w:tcPr>
            <w:tcW w:type="dxa" w:w="2340"/>
          </w:tcPr>
          <w:p>
            <w:r/>
            <w:r>
              <w:t>Egress and access-pattern report for hosts labelled as BCSI hosts.</w:t>
            </w:r>
          </w:p>
        </w:tc>
        <w:tc>
          <w:tcPr>
            <w:tcW w:type="dxa" w:w="2340"/>
          </w:tcPr>
          <w:p>
            <w:r/>
            <w:r>
              <w:t>Classification, storage, transit, and disposal of BES Cyber System Information.</w:t>
            </w:r>
          </w:p>
        </w:tc>
        <w:tc>
          <w:tcPr>
            <w:tcW w:type="dxa" w:w="2340"/>
          </w:tcPr>
          <w:p>
            <w:r/>
            <w:r>
              <w:t>Partial Coverage</w:t>
            </w:r>
          </w:p>
        </w:tc>
      </w:tr>
      <w:tr>
        <w:tc>
          <w:tcPr>
            <w:tcW w:type="dxa" w:w="2340"/>
          </w:tcPr>
          <w:p>
            <w:r/>
            <w:r>
              <w:t>CIP-012</w:t>
            </w:r>
          </w:p>
        </w:tc>
        <w:tc>
          <w:tcPr>
            <w:tcW w:type="dxa" w:w="2340"/>
          </w:tcPr>
          <w:p>
            <w:r/>
            <w:r>
              <w:t>Observed paths, and an allowlist, for instrumented control-center workloads that exchange real-time assessment or monitoring data. This standard was not in the posture table above.</w:t>
            </w:r>
          </w:p>
        </w:tc>
        <w:tc>
          <w:tcPr>
            <w:tcW w:type="dxa" w:w="2340"/>
          </w:tcPr>
          <w:p>
            <w:r/>
            <w:r>
              <w:t>Identification of that real-time data, the protection method on the control-center link, and the CIP-012 plan. Secure Workload does not encrypt that link.</w:t>
            </w:r>
          </w:p>
        </w:tc>
        <w:tc>
          <w:tcPr>
            <w:tcW w:type="dxa" w:w="2340"/>
          </w:tcPr>
          <w:p>
            <w:r/>
            <w:r>
              <w:t>Partial Coverage</w:t>
            </w:r>
          </w:p>
        </w:tc>
      </w:tr>
      <w:tr>
        <w:tc>
          <w:tcPr>
            <w:tcW w:type="dxa" w:w="2340"/>
          </w:tcPr>
          <w:p>
            <w:r/>
            <w:r>
              <w:t>CIP-013</w:t>
            </w:r>
          </w:p>
        </w:tc>
        <w:tc>
          <w:tcPr>
            <w:tcW w:type="dxa" w:w="2340"/>
          </w:tcPr>
          <w:p>
            <w:r/>
            <w:r>
              <w:t>Vendor-egress flows reconciled to the vendor register, and the allowlist on electronic access systems.</w:t>
            </w:r>
          </w:p>
        </w:tc>
        <w:tc>
          <w:tcPr>
            <w:tcW w:type="dxa" w:w="2340"/>
          </w:tcPr>
          <w:p>
            <w:r/>
            <w:r>
              <w:t>The supply-chain risk plan and the vendor contract clauses.</w:t>
            </w:r>
          </w:p>
        </w:tc>
        <w:tc>
          <w:tcPr>
            <w:tcW w:type="dxa" w:w="2340"/>
          </w:tcPr>
          <w:p>
            <w:r/>
            <w:r>
              <w:t>Partial Coverage</w:t>
            </w:r>
          </w:p>
        </w:tc>
      </w:tr>
      <w:tr>
        <w:tc>
          <w:tcPr>
            <w:tcW w:type="dxa" w:w="2340"/>
          </w:tcPr>
          <w:p>
            <w:r/>
            <w:r>
              <w:t>CIP-014</w:t>
            </w:r>
          </w:p>
        </w:tc>
        <w:tc>
          <w:tcPr>
            <w:tcW w:type="dxa" w:w="2340"/>
          </w:tcPr>
          <w:p>
            <w:r/>
            <w:r>
              <w:t>No physical-security record.</w:t>
            </w:r>
          </w:p>
        </w:tc>
        <w:tc>
          <w:tcPr>
            <w:tcW w:type="dxa" w:w="2340"/>
          </w:tcPr>
          <w:p>
            <w:r/>
            <w:r>
              <w:t>Transmission-station physical security.</w:t>
            </w:r>
          </w:p>
        </w:tc>
        <w:tc>
          <w:tcPr>
            <w:tcW w:type="dxa" w:w="2340"/>
          </w:tcPr>
          <w:p>
            <w:r/>
            <w:r>
              <w:t>Evidence Required</w:t>
            </w:r>
          </w:p>
        </w:tc>
      </w:tr>
      <w:tr>
        <w:tc>
          <w:tcPr>
            <w:tcW w:type="dxa" w:w="2340"/>
          </w:tcPr>
          <w:p>
            <w:r/>
            <w:r>
              <w:t>CIP-015</w:t>
            </w:r>
          </w:p>
        </w:tc>
        <w:tc>
          <w:tcPr>
            <w:tcW w:type="dxa" w:w="2340"/>
          </w:tcPr>
          <w:p>
            <w:r/>
            <w:r>
              <w:t>East-west flow and process telemetry on instrumented IT-side hosts, as an input to internal network security monitoring. Confirm the effective date for the entity's impact rating before an audit cites this row.</w:t>
            </w:r>
          </w:p>
        </w:tc>
        <w:tc>
          <w:tcPr>
            <w:tcW w:type="dxa" w:w="2340"/>
          </w:tcPr>
          <w:p>
            <w:r/>
            <w:r>
              <w:t>Monitoring on OT segments and on hosts with no sensor.</w:t>
            </w:r>
          </w:p>
        </w:tc>
        <w:tc>
          <w:tcPr>
            <w:tcW w:type="dxa" w:w="2340"/>
          </w:tcPr>
          <w:p>
            <w:r/>
            <w:r>
              <w:t>Partial Coverage</w:t>
            </w:r>
          </w:p>
        </w:tc>
      </w:tr>
      <w:tr>
        <w:tc>
          <w:tcPr>
            <w:tcW w:type="dxa" w:w="2340"/>
          </w:tcPr>
          <w:p>
            <w:r>
              <w:t>CIP-007 R5 (system access control)</w:t>
            </w:r>
          </w:p>
        </w:tc>
        <w:tc>
          <w:tcPr>
            <w:tcW w:type="dxa" w:w="2340"/>
          </w:tcPr>
          <w:p>
            <w:r>
              <w:t>Policy restricting which workloads can reach authentication services</w:t>
            </w:r>
          </w:p>
        </w:tc>
        <w:tc>
          <w:tcPr>
            <w:tcW w:type="dxa" w:w="2340"/>
          </w:tcPr>
          <w:p>
            <w:r>
              <w:t>Authentication-path policy export, filed with the identity-system account and MFA evidence</w:t>
            </w:r>
          </w:p>
        </w:tc>
        <w:tc>
          <w:tcPr>
            <w:tcW w:type="dxa" w:w="2340"/>
          </w:tcPr>
          <w:p/>
        </w:tc>
      </w:tr>
      <w:tr>
        <w:tc>
          <w:tcPr>
            <w:tcW w:type="dxa" w:w="2340"/>
          </w:tcPr>
          <w:p>
            <w:r>
              <w:t>CIP-012 R1 (control-center communications)</w:t>
            </w:r>
          </w:p>
        </w:tc>
        <w:tc>
          <w:tcPr>
            <w:tcW w:type="dxa" w:w="2340"/>
          </w:tcPr>
          <w:p>
            <w:r>
              <w:t>Observed flows and an allowlist between instrumented control-center workloads that carry real-time data</w:t>
            </w:r>
          </w:p>
        </w:tc>
        <w:tc>
          <w:tcPr>
            <w:tcW w:type="dxa" w:w="2340"/>
          </w:tcPr>
          <w:p>
            <w:r>
              <w:t>Flow export and allowlist, filed with the CIP-012 plan and the link-protection record</w:t>
            </w:r>
          </w:p>
        </w:tc>
        <w:tc>
          <w:tcPr>
            <w:tcW w:type="dxa" w:w="2340"/>
          </w:tcPr>
          <w:p/>
        </w:tc>
      </w:tr>
      <w:tr>
        <w:tc>
          <w:tcPr>
            <w:tcW w:type="dxa" w:w="2340"/>
          </w:tcPr>
          <w:p>
            <w:r>
              <w:t>CIP-015 (internal network security monitoring)</w:t>
            </w:r>
          </w:p>
        </w:tc>
        <w:tc>
          <w:tcPr>
            <w:tcW w:type="dxa" w:w="2340"/>
          </w:tcPr>
          <w:p>
            <w:r>
              <w:t>East-west flow and process telemetry on instrumented IT-side hosts</w:t>
            </w:r>
          </w:p>
        </w:tc>
        <w:tc>
          <w:tcPr>
            <w:tcW w:type="dxa" w:w="2340"/>
          </w:tcPr>
          <w:p>
            <w:r>
              <w:t>Telemetry export for the monitored segment, after the entity confirms CIP-015 applies</w:t>
            </w:r>
          </w:p>
        </w:tc>
        <w:tc>
          <w:tcPr>
            <w:tcW w:type="dxa" w:w="2340"/>
          </w:tcPr>
          <w:p/>
        </w:tc>
      </w:tr>
    </w:tbl>
    <w:p>
      <w:pPr>
        <w:pStyle w:val="Heading2"/>
        <w:rPr/>
      </w:pPr>
      <w:bookmarkStart w:id="4" w:name="X470be95cef125936a0c59deeb4f44099a333a6d"/>
      <w:r>
        <w:rPr/>
        <w:t>3. Mapping Table — NERC CIP Requirement → CSW Capability → Evidence Artefact</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Requirement</w:t>
            </w:r>
          </w:p>
        </w:tc>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CSW capability</w:t>
            </w:r>
          </w:p>
        </w:tc>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Evidence artefact (audit-ready)</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CIP-002 R1 (BCS identification)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 xml:space="preserve">Workload labelling: </w:t>
            </w:r>
            <w:r>
              <w:rPr>
                <w:rStyle w:val="VerbatimChar"/>
                <w:rFonts w:eastAsia="" w:cs=""/>
                <w:kern w:val="0"/>
                <w:szCs w:val="24"/>
                <w:lang w:val="en-US" w:eastAsia="zh-CN" w:bidi="ar-SA"/>
              </w:rPr>
              <w:t>bes_impact</w:t>
            </w:r>
            <w:r>
              <w:rPr>
                <w:rFonts w:eastAsia="" w:cs=""/>
                <w:kern w:val="0"/>
                <w:sz w:val="24"/>
                <w:szCs w:val="24"/>
                <w:lang w:val="en-US" w:eastAsia="zh-CN" w:bidi="ar-SA"/>
              </w:rPr>
              <w:t xml:space="preserve">, </w:t>
            </w:r>
            <w:r>
              <w:rPr>
                <w:rStyle w:val="VerbatimChar"/>
                <w:rFonts w:eastAsia="" w:cs=""/>
                <w:kern w:val="0"/>
                <w:szCs w:val="24"/>
                <w:lang w:val="en-US" w:eastAsia="zh-CN" w:bidi="ar-SA"/>
              </w:rPr>
              <w:t>bes_role</w:t>
            </w:r>
            <w:r>
              <w:rPr>
                <w:rFonts w:eastAsia="" w:cs=""/>
                <w:kern w:val="0"/>
                <w:sz w:val="24"/>
                <w:szCs w:val="24"/>
                <w:lang w:val="en-US" w:eastAsia="zh-CN" w:bidi="ar-SA"/>
              </w:rPr>
              <w:t xml:space="preserve">, </w:t>
            </w:r>
            <w:r>
              <w:rPr>
                <w:rStyle w:val="VerbatimChar"/>
                <w:rFonts w:eastAsia="" w:cs=""/>
                <w:kern w:val="0"/>
                <w:szCs w:val="24"/>
                <w:lang w:val="en-US" w:eastAsia="zh-CN" w:bidi="ar-SA"/>
              </w:rPr>
              <w:t>bcs_id</w:t>
            </w:r>
            <w:r>
              <w:rPr>
                <w:rFonts w:eastAsia="" w:cs=""/>
                <w:kern w:val="0"/>
                <w:sz w:val="24"/>
                <w:szCs w:val="24"/>
                <w:lang w:val="en-US" w:eastAsia="zh-CN" w:bidi="ar-SA"/>
              </w:rPr>
              <w:t xml:space="preserve">, </w:t>
            </w:r>
            <w:r>
              <w:rPr>
                <w:rStyle w:val="VerbatimChar"/>
                <w:rFonts w:eastAsia="" w:cs=""/>
                <w:kern w:val="0"/>
                <w:szCs w:val="24"/>
                <w:lang w:val="en-US" w:eastAsia="zh-CN" w:bidi="ar-SA"/>
              </w:rPr>
              <w:t>esp_member</w:t>
            </w:r>
            <w:r>
              <w:rPr>
                <w:rFonts w:eastAsia="" w:cs=""/>
                <w:kern w:val="0"/>
                <w:sz w:val="24"/>
                <w:szCs w:val="24"/>
                <w:lang w:val="en-US" w:eastAsia="zh-CN" w:bidi="ar-SA"/>
              </w:rPr>
              <w:t xml:space="preserve">, </w:t>
            </w:r>
            <w:r>
              <w:rPr>
                <w:rStyle w:val="VerbatimChar"/>
                <w:rFonts w:eastAsia="" w:cs=""/>
                <w:kern w:val="0"/>
                <w:szCs w:val="24"/>
                <w:lang w:val="en-US" w:eastAsia="zh-CN" w:bidi="ar-SA"/>
              </w:rPr>
              <w:t>facility</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Per-scope inventory CSV with workload identity, OS, owner, BCS reference, ESP membership flag, last-seen timestamp</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CIP-005 R1.1 (ESP boundary documentation)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Per-facility policy workspace; documented exception list; deny-by-default to EAP-IP set</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Workspace export per facility with simulation→enforcement transition log</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CIP-005 R1.2 (ESP applicability)</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Scope membership snapshot for each ESP</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 xml:space="preserve">Dated CSV of every workload tagged </w:t>
            </w:r>
            <w:r>
              <w:rPr>
                <w:rStyle w:val="VerbatimChar"/>
                <w:rFonts w:eastAsia="" w:cs=""/>
                <w:kern w:val="0"/>
                <w:szCs w:val="24"/>
                <w:lang w:val="en-US" w:eastAsia="zh-CN" w:bidi="ar-SA"/>
              </w:rPr>
              <w:t>esp_member=true</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CIP-005 R1.5 (boundary control review)</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enforcement diff report</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Diff PDF/CSV delivered to the CIP Senior Manager</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CIP-005 R2 (Interactive Remote Access)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Intermediate-system enforcement policy; weekly IRA-flow report</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Per-session flow telemetry export; IRA-pattern report dated within audit window</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CIP-007 R1.1 (Ports and Services baseline)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Per-workload listening-port inventory with process attribution and last-flow timestamp</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listening-port inventory export per workload</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CIP-007 R1.2 (CIP Exceptional Circumstances)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Documented exceptions in the workspace notes; flow-log evidence of exception usage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Exception register with CSW-observed enforcement evidence</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CIP-007 R3 (Malicious Code Prevention)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Behavioural rule catalogue; simulation→enforce progression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Rule catalogue with last-modified dates and CIP coverage mapping</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CIP-007 R4 (Security Event Monitoring)</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Process + flow telemetry forwarded to SIEM with retention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SIEM forwarding configuration; sample alert with full forensic context</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CIP-008 R1 (Incident response plan)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Standard six-artefact reconstruction bundle template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Sample dossier from the audit window</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CIP-008 R2 (Implementation testing)</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CSW-driven tabletop reachability queries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Pre/post reachability reports for each test</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CIP-010 R1.1.1 (OS/firmware baseline)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Daily OS + kernel snapshot per workload</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Baseline export dated to the period</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CIP-010 R1.1.2–R1.1.3 (software baseline)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Daily package list snapshot per workload</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Baseline export with package + version</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CIP-010 R1.1.4 (network-accessible ports baseline)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Daily listening-port snapshot</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Baseline export with port + bound process</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CIP-010 R1.1.5 (security patches)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Continuous CVE inventory tied to package versions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CVE export with patch-applied-by date</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CIP-010 R1.5 (unauthorised change monitoring)</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Daily diff vs. previous day with disposition column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Diff log with authorised/unauthorised flag tied to change ticket</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CIP-010 R3.1 (active vulnerability assessment)</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Per-workload CVE list with CVSS, exploit availability, EPSS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Cadence-based export per impact rating</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CIP-010 R3.2 (pre-commissioning VA)</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First-sighting CVE inventory before ESP connection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Pre-commissioning VA report per new asset</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CIP-011 R1.1 (BCSI access controls)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 xml:space="preserve">Egress and access pattern monitoring on </w:t>
            </w:r>
            <w:r>
              <w:rPr>
                <w:rStyle w:val="VerbatimChar"/>
                <w:rFonts w:eastAsia="" w:cs=""/>
                <w:kern w:val="0"/>
                <w:szCs w:val="24"/>
                <w:lang w:val="en-US" w:eastAsia="zh-CN" w:bidi="ar-SA"/>
              </w:rPr>
              <w:t>bes_role=bcsi-host</w:t>
            </w:r>
            <w:r>
              <w:rPr>
                <w:rFonts w:eastAsia="" w:cs=""/>
                <w:kern w:val="0"/>
                <w:sz w:val="24"/>
                <w:szCs w:val="24"/>
                <w:lang w:val="en-US" w:eastAsia="zh-CN" w:bidi="ar-SA"/>
              </w:rPr>
              <w:t xml:space="preserve"> workloads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BCSI-host inventory + anomaly alert log with disposition</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CIP-011 R1.2 (BCSI in third-party storage)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CSW Cloud Connector coverage of cloud BCSI targets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Cloud inventory + access pattern report</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CIP-013 R1.2.5 (vendor remote access)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EACMS egress allowlist scoped to vendor register</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Allowlist policy export + observed-vs-register delta</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CIP-013 R1.2.6 (vendor incident coordination)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Vendor-egress flow record for any incident window</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Per-incident vendor flow extract</w:t>
            </w:r>
          </w:p>
        </w:tc>
      </w:tr>
      <w:tr>
        <w:tc>
          <w:tcPr>
            <w:tcW w:type="dxa" w:w="3120"/>
          </w:tcPr>
          <w:p>
            <w:r>
              <w:t>CIP-012 link protection</w:t>
            </w:r>
          </w:p>
        </w:tc>
        <w:tc>
          <w:tcPr>
            <w:tcW w:type="dxa" w:w="3120"/>
          </w:tcPr>
          <w:p>
            <w:r>
              <w:t>Control-center communications owner</w:t>
            </w:r>
          </w:p>
        </w:tc>
        <w:tc>
          <w:tcPr>
            <w:tcW w:type="dxa" w:w="3120"/>
          </w:tcPr>
          <w:p>
            <w:r>
              <w:t>Identification of real-time data and protection of the control-center link. Secure Workload shows the path; it does not encrypt it.</w:t>
            </w:r>
          </w:p>
        </w:tc>
      </w:tr>
      <w:tr>
        <w:tc>
          <w:tcPr>
            <w:tcW w:type="dxa" w:w="3120"/>
          </w:tcPr>
          <w:p>
            <w:r>
              <w:t>CIP-015 on OT segments</w:t>
            </w:r>
          </w:p>
        </w:tc>
        <w:tc>
          <w:tcPr>
            <w:tcW w:type="dxa" w:w="3120"/>
          </w:tcPr>
          <w:p>
            <w:r>
              <w:t>OT/ICS team</w:t>
            </w:r>
          </w:p>
        </w:tc>
        <w:tc>
          <w:tcPr>
            <w:tcW w:type="dxa" w:w="3120"/>
          </w:tcPr>
          <w:p>
            <w:r>
              <w:t>Internal network security monitoring on segments with no Secure Workload sensor, including Level 0–2 networks.</w:t>
            </w:r>
          </w:p>
        </w:tc>
      </w:tr>
    </w:tbl>
    <w:p>
      <w:pPr>
        <w:pStyle w:val="Normal"/>
        <w:rPr/>
      </w:pPr>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out-of-scope-and-complementary-controls"/>
      <w:r>
        <w:rPr/>
        <w:t>4. Out-of-Scope and Complementary Controls</w:t>
      </w:r>
    </w:p>
    <w:p>
      <w:pPr>
        <w:pStyle w:val="FirstParagraph"/>
        <w:rPr/>
      </w:pPr>
      <w:r>
        <w:rPr/>
        <w:t xml:space="preserve">CSW does </w:t>
      </w:r>
      <w:r>
        <w:rPr>
          <w:b/>
          <w:bCs/>
        </w:rPr>
        <w:t>not</w:t>
      </w:r>
      <w:r>
        <w:rPr/>
        <w:t xml:space="preserve"> address the following CIP requirements; reference the noted complementary controls.</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Requirement</w:t>
            </w:r>
          </w:p>
        </w:tc>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Owner</w:t>
            </w:r>
          </w:p>
        </w:tc>
        <w:tc>
          <w:tcPr>
            <w:tcW w:w="3120" w:type="dxa"/>
            <w:tcBorders>
              <w:bottom w:val="single" w:sz="6" w:space="0" w:color="000000"/>
            </w:tcBorders>
            <w:vAlign w:val="bottom"/>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Complementary control</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CIP-002 categorisation decision</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 Senior Manager + Asset Owners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Risk + engineering analysis against Attachment 1 thresholds</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CIP-003 governance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 Senior Manager</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Programme charter, policy library, training records</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CIP-004 personnel</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HR + CIP Senior Manager</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Background checks, role-based training, access reviews</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CIP-005 EAP enforcement</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Network/Firewall team</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Boundary firewall pair (Cisco Firepower, Palo Alto, Fortinet, etc.)</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CIP-006 physical security</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Facilities + Physical Security</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PSP enclosure, badge access, CCTV</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CIP-007 R5 system access controls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Identity/PAM team</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AD/LDAP, PAM (CyberArk, BeyondTrust), MFA</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CIP-009 active recovery</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Backup + DR team</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Backup product, DR plan execution</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CIP-014 transmission physical security</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Physical Security</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Site hardening, vehicle barriers, hardened control house</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OT device-layer enforcement (PLCs, IEDs, HMIs)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OT/ICS team</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OT-aware monitoring (Cyber Vision, Claroty, Nozomi, Dragos)</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OT-protocol deep packet inspection (DNP3, IEC 61850, Modbus)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OT/ICS team</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OT-aware sensors at the protocol layer</w:t>
            </w:r>
          </w:p>
        </w:tc>
      </w:tr>
    </w:tbl>
    <w:p>
      <w:pPr>
        <w:pStyle w:val="BodyText"/>
        <w:rPr/>
      </w:pPr>
      <w:r>
        <w:rPr/>
        <w:t>CSW’s role in a complete NERC CIP programme is the IT-side segmentation, EACMS hardening, and continuous evidence engine. It explicitly defers the OT device-layer scope to the appropriate specialised stack and the governance / HR / physical scope to the appropriate owners.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suggested-next-steps"/>
      <w:r>
        <w:rPr/>
        <w:t>5. Suggested Next Steps</w:t>
      </w:r>
    </w:p>
    <w:p>
      <w:pPr>
        <w:pStyle w:val="FirstParagraph"/>
        <w:rPr/>
      </w:pPr>
      <w:r>
        <w:rPr/>
        <w:t>For Registered Entities considering CSW within their NERC CIP programme:</w:t>
      </w:r>
    </w:p>
    <w:p>
      <w:pPr>
        <w:pStyle w:val="Compact"/>
        <w:numPr>
          <w:ilvl w:val="0"/>
          <w:numId w:val="6"/>
        </w:numPr>
        <w:rPr/>
      </w:pPr>
      <w:r>
        <w:rPr>
          <w:b/>
          <w:bCs/>
        </w:rPr>
        <w:t>Confirm CIP-002 inputs.</w:t>
      </w:r>
      <w:r>
        <w:rPr/>
        <w:t xml:space="preserve"> Validate the BCS impact ratings and the EACMS / PACS-supporting / BCSI-host tier definition before starting CSW scope design. CSW labels mirror this taxonomy; bad inputs produce bad evidence.</w:t>
      </w:r>
    </w:p>
    <w:p>
      <w:pPr>
        <w:pStyle w:val="Compact"/>
        <w:numPr>
          <w:ilvl w:val="0"/>
          <w:numId w:val="3"/>
        </w:numPr>
        <w:rPr/>
      </w:pPr>
      <w:r>
        <w:rPr>
          <w:b/>
          <w:bCs/>
        </w:rPr>
        <w:t>Pilot on the EACMS tier first.</w:t>
      </w:r>
      <w:r>
        <w:rPr/>
        <w:t xml:space="preserve"> Jump hosts, vendor-access hosts, AD, PKI, and patch repositories give the highest-value wins (CIP-005 R1 IT-side, CIP-005 R2 IRA evidence, CIP-007 R1 ports inventory) with the lowest deployment friction.</w:t>
      </w:r>
    </w:p>
    <w:p>
      <w:pPr>
        <w:pStyle w:val="Compact"/>
        <w:numPr>
          <w:ilvl w:val="0"/>
          <w:numId w:val="3"/>
        </w:numPr>
        <w:rPr/>
      </w:pPr>
      <w:r>
        <w:rPr>
          <w:b/>
          <w:bCs/>
        </w:rPr>
        <w:t>Pair with the existing EAP firewall pair.</w:t>
      </w:r>
      <w:r>
        <w:rPr/>
        <w:t xml:space="preserve"> CSW does not replace the EAP. Position CSW as the IT-side hardening </w:t>
      </w:r>
      <w:r>
        <w:rPr>
          <w:i/>
          <w:iCs/>
        </w:rPr>
        <w:t>up to</w:t>
      </w:r>
      <w:r>
        <w:rPr/>
        <w:t xml:space="preserve"> the EAP, with the EAP itself remaining the boundary control of record under CIP-005 R1.</w:t>
      </w:r>
    </w:p>
    <w:p>
      <w:pPr>
        <w:pStyle w:val="Compact"/>
        <w:numPr>
          <w:ilvl w:val="0"/>
          <w:numId w:val="3"/>
        </w:numPr>
        <w:rPr/>
      </w:pPr>
      <w:r>
        <w:rPr>
          <w:b/>
          <w:bCs/>
        </w:rPr>
        <w:t>Wire the CIP-010 R1.5 unauthorised-change feed into your ticketing system day one.</w:t>
      </w:r>
      <w:r>
        <w:rPr/>
        <w:t xml:space="preserve"> The orphan-change report is one of the most asked-for artefacts during RSAW evidence requests, and CSW produces it automatically.</w:t>
      </w:r>
    </w:p>
    <w:p>
      <w:pPr>
        <w:pStyle w:val="Compact"/>
        <w:numPr>
          <w:ilvl w:val="0"/>
          <w:numId w:val="3"/>
        </w:numPr>
        <w:rPr/>
      </w:pPr>
      <w:r>
        <w:rPr>
          <w:b/>
          <w:bCs/>
        </w:rPr>
        <w:t>Tie the CIP-013 vendor-egress allowlist to your supplier onboarding workflow.</w:t>
      </w:r>
      <w:r>
        <w:rPr/>
        <w:t xml:space="preserve"> Adding CSW allowlist updates as a step in vendor onboarding closes the most common audit gap (vendor endpoint observed but not in the register).</w:t>
      </w:r>
    </w:p>
    <w:p>
      <w:pPr>
        <w:pStyle w:val="Compact"/>
        <w:numPr>
          <w:ilvl w:val="0"/>
          <w:numId w:val="3"/>
        </w:numPr>
        <w:rPr/>
      </w:pPr>
      <w:r>
        <w:rPr>
          <w:b/>
          <w:bCs/>
        </w:rPr>
        <w:t>Plan SME review.</w:t>
      </w:r>
      <w:r>
        <w:rPr/>
        <w:t xml:space="preserve"> This document is a v1 mapping. Before being relied upon in a formal compliance engagement, route to a NERC CIP compliance specialist for regulatory accuracy and to a current Cisco Secure Workload SE for product-capability accuracy.</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disclaimer"/>
      <w:r>
        <w:rPr/>
        <w:t>6. Disclaimer</w:t>
      </w:r>
    </w:p>
    <w:p>
      <w:pPr>
        <w:pStyle w:val="FirstParagraph"/>
        <w:rPr/>
      </w:pPr>
      <w:r>
        <w:rPr/>
        <w:t xml:space="preserve">This report and its companion runbook describe how Cisco Secure Workload capabilities can support a NERC CIP cybersecurity programme on the </w:t>
      </w:r>
      <w:r>
        <w:rPr>
          <w:b/>
          <w:bCs/>
        </w:rPr>
        <w:t>IT side</w:t>
      </w:r>
      <w:r>
        <w:rPr/>
        <w:t xml:space="preserve"> of the IT/OT boundary. They are </w:t>
      </w:r>
      <w:r>
        <w:rPr>
          <w:b/>
          <w:bCs/>
        </w:rPr>
        <w:t>not</w:t>
      </w:r>
      <w:r>
        <w:rPr/>
        <w:t xml:space="preserve"> legal or regulatory advice and do not constitute a finding of compliance.</w:t>
      </w:r>
    </w:p>
    <w:p>
      <w:pPr>
        <w:pStyle w:val="BodyText"/>
        <w:rPr/>
      </w:pPr>
      <w:r>
        <w:rPr/>
        <w:t>Specifically:</w:t>
      </w:r>
    </w:p>
    <w:p>
      <w:pPr>
        <w:pStyle w:val="Compact"/>
        <w:numPr>
          <w:ilvl w:val="0"/>
          <w:numId w:val="1"/>
        </w:numPr>
        <w:rPr/>
      </w:pPr>
      <w:r>
        <w:rPr/>
        <w:t>Final identification and categorisation of BES Cyber Systems (CIP-002), the design of ESP and EAP arrangements (CIP-005), determination of impact ratings (Attachment 1), CIP-008 reportable Cyber Security Incident decisions (R4), and the formal RSAW audit response remain the responsibility of the Registered Entity’s CIP Senior Manager and qualified compliance counsel, working with the applicable Regional Entity (WECC, NPCC, RF, SERC, TRE, MRO).</w:t>
      </w:r>
    </w:p>
    <w:p>
      <w:pPr>
        <w:pStyle w:val="Compact"/>
        <w:numPr>
          <w:ilvl w:val="0"/>
          <w:numId w:val="1"/>
        </w:numPr>
        <w:rPr/>
      </w:pPr>
      <w:r>
        <w:rPr/>
        <w:t>CSW does not enforce policy on PLCs, RTUs, IEDs, HMIs, or any other Level 0–2 OT device, and is not certified as an Electronic Access Point (EAP).</w:t>
      </w:r>
    </w:p>
    <w:p>
      <w:pPr>
        <w:pStyle w:val="Compact"/>
        <w:numPr>
          <w:ilvl w:val="0"/>
          <w:numId w:val="1"/>
        </w:numPr>
        <w:rPr/>
      </w:pPr>
      <w:r>
        <w:rPr/>
        <w:t>Cisco product capabilities, NERC standards effective revisions, and Regional Entity audit guidance evolve. Always validate against the current effective revision of each CIP standard published on the NERC web site, against your Regional Entity’s current audit guidance, and against any FERC orders amending applicability or compliance dates.</w:t>
      </w:r>
    </w:p>
    <w:p>
      <w:pPr>
        <w:pStyle w:val="FirstParagraph"/>
        <w:spacing w:before="180" w:after="180"/>
        <w:rPr/>
      </w:pPr>
      <w:r>
        <w:rPr/>
        <w:t>This document should receive subject-matter-expert review for both NERC CIP regulatory accuracy and current Cisco product capability before being used in a customer engagement.</w:t>
      </w:r>
      <w:bookmarkEnd w:id="0"/>
      <w:bookmarkEnd w:id="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LibreOffice/26.2.3.2$MacOSX_X86_64 LibreOffice_project/70e089b17412e4cb7773e41413306b17a2328c34</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2026-05-02T01:31:57Z</dcterms:created>
  <dc:creator>Cisco Secure Workload — Compliance Mapping Series</dc:creator>
  <dc:description/>
  <dc:language>en</dc:language>
  <cp:lastModifiedBy/>
  <dcterms:modified xsi:type="dcterms:W3CDTF">2026-05-02T01:31:57Z</dcterms:modified>
  <cp:revision>0</cp:revision>
  <dc:subject/>
  <dc:title>NERC CIP — Compliance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(draft — pending SME review)</vt:lpwstr>
  </property>
  <property fmtid="{D5CDD505-2E9C-101B-9397-08002B2CF9AE}" pid="3" name="subtitle">
    <vt:lpwstr>Cisco Secure Workload | IT-Side Mapping for the Bulk Electric System</vt:lpwstr>
  </property>
</Properties>
</file>