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800" w:after="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3366"/>
          <w:sz w:val="52"/>
          <w:szCs w:val="52"/>
        </w:rPr>
        <w:t>CISCO SECURE WORKLOAD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70C0"/>
          <w:sz w:val="40"/>
          <w:szCs w:val="40"/>
        </w:rPr>
        <w:t>NIST SP 800-207 Zero Trust Architecture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555555"/>
          <w:sz w:val="26"/>
          <w:szCs w:val="26"/>
        </w:rPr>
        <w:t>Zero Trust Tenets &amp; Deployment Model Alignment</w:t>
      </w:r>
    </w:p>
    <w:p>
      <w:pPr>
        <w:pStyle w:val="Normal"/>
        <w:pBdr>
          <w:bottom w:val="single" w:sz="12" w:space="4" w:color="0070C0"/>
        </w:pBdr>
        <w:spacing w:before="0" w:after="400"/>
        <w:jc w:val="center"/>
        <w:rPr/>
      </w:pPr>
      <w:r>
        <w:rPr/>
      </w:r>
    </w:p>
    <w:p>
      <w:pPr>
        <w:pStyle w:val="Normal"/>
        <w:spacing w:before="400" w:after="160"/>
        <w:jc w:val="center"/>
        <w:rPr/>
      </w:pPr>
      <w:r>
        <w:rPr>
          <w:rFonts w:eastAsia="Arial" w:cs="Arial"/>
          <w:color w:val="444444"/>
          <w:sz w:val="28"/>
          <w:szCs w:val="28"/>
        </w:rPr>
        <w:t>Prepared for:  [Customer Name]</w:t>
      </w:r>
    </w:p>
    <w:p>
      <w:pPr>
        <w:pStyle w:val="Normal"/>
        <w:spacing w:before="0" w:after="160"/>
        <w:jc w:val="center"/>
        <w:rPr/>
      </w:pPr>
      <w:r>
        <w:rPr>
          <w:rFonts w:eastAsia="Arial" w:cs="Arial"/>
          <w:color w:val="666666"/>
          <w:sz w:val="24"/>
          <w:szCs w:val="24"/>
        </w:rPr>
        <w:t>Prepared by:  Cisco Systems, Inc.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888888"/>
          <w:sz w:val="20"/>
          <w:szCs w:val="20"/>
        </w:rPr>
        <w:t>Date:  [Month Year]  |  Version 1.0  |  Cisco Confidential</w:t>
      </w:r>
    </w:p>
    <w:tbl>
      <w:tblPr>
        <w:tblW w:w="600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6000"/>
      </w:tblGrid>
      <w:tr>
        <w:trPr/>
        <w:tc>
          <w:tcPr>
            <w:tcW w:w="6000" w:type="dxa"/>
            <w:tcBorders>
              <w:top w:val="single" w:sz="2" w:space="0" w:color="0070C0"/>
              <w:start w:val="single" w:sz="2" w:space="0" w:color="0070C0"/>
              <w:bottom w:val="single" w:sz="2" w:space="0" w:color="0070C0"/>
              <w:end w:val="single" w:sz="2" w:space="0" w:color="0070C0"/>
            </w:tcBorders>
            <w:shd w:fill="E8F4FC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03366"/>
                <w:sz w:val="22"/>
                <w:szCs w:val="22"/>
              </w:rPr>
              <w:t>Regulatory Standard: NIST SP 800-207 (Zero Trust Architecture — Seven Tenets)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Environment: Hybrid (On-Premises + AWS / Azure / GCP)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Deployment Stage: Fresh Installation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2"/>
      </w:pPr>
      <w:r>
        <w:t>How to read the coverage words</w:t>
      </w:r>
    </w:p>
    <w:p>
      <w:pPr>
        <w:pStyle w:val="Normal"/>
      </w:pPr>
      <w:r>
        <w:rPr>
          <w:b/>
        </w:rPr>
        <w:t>Full Coverage</w:t>
      </w:r>
      <w:r>
        <w:t xml:space="preserve"> on the older reports means Secure Workload can produce that row's artifact. It does not mean the control is met.</w:t>
      </w:r>
    </w:p>
    <w:p>
      <w:pPr>
        <w:pStyle w:val="Normal"/>
      </w:pPr>
      <w:r>
        <w:rPr>
          <w:b/>
        </w:rPr>
        <w:t>Partial Coverage</w:t>
      </w:r>
      <w:r>
        <w:t xml:space="preserve"> means file that export next to another control.</w:t>
      </w:r>
    </w:p>
    <w:p>
      <w:pPr>
        <w:pStyle w:val="Normal"/>
      </w:pPr>
      <w:r>
        <w:rPr>
          <w:b/>
        </w:rPr>
        <w:t>Evidence Required</w:t>
      </w:r>
      <w:r>
        <w:t xml:space="preserve"> means Secure Workload has no record. The customer files the contract, the analysis, or the HR or physical-security evidence.</w:t>
      </w:r>
    </w:p>
    <w:p>
      <w:pPr>
        <w:pStyle w:val="Normal"/>
      </w:pPr>
      <w:r>
        <w:rPr>
          <w:b/>
        </w:rPr>
        <w:t>Direct, Supporting, and Out of scope</w:t>
      </w:r>
      <w:r>
        <w:t xml:space="preserve"> on the newer reports are the same idea in different words. Direct is still evidence, not a pass.</w:t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Executive Summary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SP 800-207 defines Zero Trust Architecture (ZTA) as a set of cybersecurity paradigms that move defenses from static, network-based perimeters to focus on users, assets, and resources. The standard defines seven foundational tenets that any ZTA implementation must satisfy, along with three deployment models: Agent-Based, Enclave-Based, and Resource Portal-Based.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Cisco Secure Workload (CSW) is a foundational ZTA technology that directly satisfies NIST 800-207 tenets related to resource protection, communication integrity, dynamic policy enforcement, and continuous monitoring. CSW's workload-level micro-segmentation, Application Dependency Mapping (ADM), vulnerability detection, and forensic telemetry make it the enforcement and visibility layer of a NIST-compliant ZTA implementation.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ZTA Tenet Coverage Summary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199"/>
        <w:gridCol w:w="3361"/>
        <w:gridCol w:w="1800"/>
      </w:tblGrid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NIST 800-207 Tenet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Role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Coverage</w:t>
            </w:r>
          </w:p>
        </w:tc>
      </w:tr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1 — All data sources and computing services are resources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Workload discovery and inventory across hybrid environments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2 — All communication is secured regardless of network location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Encrypted protocol enforcement, unencrypted flow detection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3 — Access to individual enterprise resources is granted on a per-session basis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Workload-level allowlist policies, session-scoped access enforcement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4 — Access to resources is determined by dynamic policy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ADM-derived policies, API-driven dynamic policy updates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5 — Enterprise monitors and measures integrity and security posture of all assets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 vulnerability scanning, process hash verification, telemetry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6 — All resource authentication and authorization is dynamic and strictly enforced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Encrypted auth path enforcement (LDAPS/Kerberos), unauthenticated access blocking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Partial Coverage</w:t>
            </w:r>
          </w:p>
        </w:tc>
      </w:tr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7 — Enterprise collects information about current state of assets and uses it to improve security posture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Full flow + process telemetry, ADM baseline, SIEM integration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NIST 800-207 Tenet-by-Tenet Mapping</w:t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Tenet 1 — All Data Sources and Computing Services Are Resources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Requirement: Every device, service, and data source — regardless of ownership or location — must be treated as a resource and managed accordingly.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99"/>
        <w:gridCol w:w="6961"/>
      </w:tblGrid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Workload Discovery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software sensors auto-register every monitored workload as a managed resource. Cloud connectors extend this to AWS EC2, Azure VMs, and GCP instances via agentless discovery.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Universal Inventory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builds a real-time inventory of all computing resources — hostname, OS, processes, open ports, network interfaces, and communication partners.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Label-Based Classification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Every resource is labeled by environment, data classification, application, and owner — establishing the resource identity required by NIST 800-207.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Cloud Resource Parity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Cloud workloads are managed under the same policy framework as on-prem. No implicit trust for cloud-hosted resources — all treated as untrusted until verified.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Evidence generated: Workload inventory export, ADM resource map, cloud connector inventory report.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Tenet 2 — All Communication Is Secured Regardless of Network Location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Requirement: All traffic — including traffic on internal networks — must be protected. Network location alone does not grant implicit trust. Communications must be authenticated and encrypted.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99"/>
        <w:gridCol w:w="6961"/>
      </w:tblGrid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Unencrypted Flow Detection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continuously monitors all workload communications and flags unencrypted protocols: HTTP (port 80), FTP (port 21), Telnet (port 23), plain LDAP (port 389), and legacy TLS versions (1.0/1.1).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Encrypted Path Enforcement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policies enforce HTTPS, SFTP, LDAPS, and SSH as the only permitted protocols for sensitive workloads. Non-compliant connections are blocked and alerted.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Internal Traffic Visibility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captures all east-west (internal) traffic — eliminating the assumption that internal network communication is safe. Every internal flow is validated against the approved policy baseline.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No Implicit Internal Trust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default-deny policies treat internal traffic identically to external traffic. All connections must match an explicit allowlist rule regardless of source network location.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Evidence generated: Protocol compliance report (unencrypted flow detection), policy enforcement log, ADM east-west flow map.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Tenet 3 — Access to Individual Resources Is Granted Per-Session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Requirement: Access must be granted to specific individual resources — not broad network segments — and must be evaluated per connection or session.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99"/>
        <w:gridCol w:w="6961"/>
      </w:tblGrid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Workload-Level Allowlist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policies operate at the individual workload level — not subnet or VLAN. Each workload has its own explicit allowlist. Access to Workload A does not imply access to Workload B, even if they share a subnet.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Per-Flow Policy Evaluation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Every network connection is evaluated against the policy engine in real time. ADM-baseline policies define exactly which source workloads can reach which destination workloads on which ports.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Micro-Segmentation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enforces microsegmentation between every workload pair. Lateral movement — a resource reaching a workload it has no approved flow to — is blocked automatically.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Session Audit Trail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Every connection attempt (approved or denied) is recorded in CSW forensic telemetry with full context: source, destination, process, user, timestamp, and policy decision.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Evidence generated: Per-session flow log, policy denial log, micro-segmentation policy workspace export.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Tenet 4 — Access Is Determined by Dynamic Policy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Requirement: Access policy must be dynamic — incorporating observable state of the requesting resource, user behavioral attributes, and environmental conditions. Static firewall rules are insufficient.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99"/>
        <w:gridCol w:w="6961"/>
      </w:tblGrid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ADM-Derived Policy Baseline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policies are derived from actual observed application behavior (ADM) — not manually authored static rules. The baseline reflects real traffic patterns and is updated as applications evolve.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Label-Driven Dynamic Scoping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As workload labels change (e.g., a workload is classified as PHI-bearing), CSW scope membership — and therefore the policies applied to it — updates automatically without manual rule changes.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API-Driven Policy Updates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REST API allows SOAR platforms, CMDB systems, and orchestration tools to push policy updates in real time. A workload flagged as compromised by EDR triggers an automatic CSW isolation policy via API.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Vulnerability-Informed Policy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vulnerability data drives compensating control policies: a workload with a critical unpatched CVE can be automatically restricted to admin-only access until patched — posture-aware access control.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Anomaly-Triggered Adjustment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anomaly detection identifies behavioral deviations from the ADM baseline. These signals trigger SOAR-mediated policy tightening — moving access decisions from static to continuously adaptive.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Evidence generated: ADM policy workspace, API audit log, anomaly alert-to-policy-change correlation log.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Tenet 5 — Enterprise Monitors and Measures Integrity and Security Posture of All Assets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Requirement: The enterprise must continuously monitor the security posture of all owned and associated assets. No asset is assumed healthy without verification.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99"/>
        <w:gridCol w:w="6961"/>
      </w:tblGrid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Continuous Vulnerability Scanning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continuously scans all monitored workloads for CVEs without requiring a separate scanning tool. Results are CVSS-scored, workload-attributed, and exportable for risk register input.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Process Hash Verification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monitors the hash of all running processes per workload. Deviations from the approved process baseline — new or modified executables — are flagged immediately as integrity violations.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Configuration Drift Detection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detects new listening ports, new processes, and new network connections that deviate from the ADM-established baseline. Any drift from approved configuration triggers an alert.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Real-Time Posture Feed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posture data (vulnerability state, process baseline, network compliance) is continuously streamed to SIEM — providing the asset health data feed that NIST 800-207 requires for dynamic policy decisions.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Evidence generated: Vulnerability scan report (continuous), process anomaly alert log, configuration drift report, SIEM posture feed.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Tenet 6 — Authentication and Authorization Are Dynamic and Strictly Enforced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Requirement: Authentication and authorization must be performed before access is granted and must be re-evaluated continuously. This applies to both human users and non-person entities (NPEs).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99"/>
        <w:gridCol w:w="6961"/>
      </w:tblGrid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Encrypted Auth Path Enforcement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enforces LDAPS (port 636) and Kerberos as the only permitted authentication paths to sensitive workloads. Plain LDAP (port 389) and unauthenticated access attempts are blocked by policy.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Non-Person Entity (NPE) Authentication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captures process-identity context per workload connection — identifying which service or application initiated each flow. Unrecognized process-to-resource connections trigger alerts.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Unauthenticated Access Detection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forensic telemetry identifies connections that bypass the approved authentication path — a direct indicator of credential compromise or lateral movement.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Complementary Controls Required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Full dynamic authentication (MFA re-evaluation, continuous session validation, IdP integration) requires pairing CSW with an Identity Provider (IdP), SSO platform, and/or Cisco Secure Access (ZTNA).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Evidence generated: Authentication path enforcement log (LDAPS policy), unauthenticated access alert log, process-identity flow report.</w:t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Note: Tenet 6 is Partial Coverage because CSW enforces the network path to authentication systems but does not itself perform identity provider functions. Pair with Cisco Secure Access or equivalent ZTNA for full coverage.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Tenet 7 — Enterprise Collects Information and Uses It to Improve Security Posture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Requirement: The enterprise must collect, aggregate, and analyze data about the current state of assets, network traffic, and access requests, and use it to improve security posture over time.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99"/>
        <w:gridCol w:w="6961"/>
      </w:tblGrid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Full Flow &amp; Process Telemetry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collects comprehensive telemetry: every network flow (source, destination, port, protocol, bytes, duration), every process (name, hash, parent, user), and every policy decision across all monitored workloads.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ADM Behavioral Baseline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Quarterly ADM re-runs establish an evolving behavioral baseline. Delta analysis between ADM runs reveals new application dependencies, removed flows, and emerging attack surface — enabling proactive posture improvement.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Vulnerability Trend Analysis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tracks CVE emergence and remediation over time per workload. Trending data shows whether the organization's patch posture is improving, stable, or degrading.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SIEM Integration for Analytics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All CSW telemetry streams to SIEM via Kafka/Syslog — enabling the enterprise analytics platform required by NIST 800-207 to correlate CSW data with identity, endpoint, and cloud signals.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Compliance Reporting Loop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compliance reports feed the security governance process. Control mapping evidence, vulnerability trends, and policy drift reports provide the data loop required by 800-207's continuous improvement model.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Evidence generated: SIEM telemetry feed, ADM delta report (quarterly), vulnerability trend report, compliance posture report.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NIST 800-207 Deployment Models — CSW Positioning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800-207 defines three ZTA deployment models. CSW plays a role in all three: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99"/>
        <w:gridCol w:w="2560"/>
        <w:gridCol w:w="3201"/>
        <w:gridCol w:w="1800"/>
      </w:tblGrid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Deployment Model</w:t>
            </w:r>
          </w:p>
        </w:tc>
        <w:tc>
          <w:tcPr>
            <w:tcW w:w="2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NIST 800-207 Description</w:t>
            </w:r>
          </w:p>
        </w:tc>
        <w:tc>
          <w:tcPr>
            <w:tcW w:w="32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Role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Status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Agent/Device-Based ZTA</w:t>
            </w:r>
          </w:p>
        </w:tc>
        <w:tc>
          <w:tcPr>
            <w:tcW w:w="2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Policy enforcement agent on each device evaluates access requests based on device posture and identity.</w:t>
            </w:r>
          </w:p>
        </w:tc>
        <w:tc>
          <w:tcPr>
            <w:tcW w:w="32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software sensor on each workload enforces network policy and collects posture data. Primary CSW deployment model.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Enclave-Based ZTA</w:t>
            </w:r>
          </w:p>
        </w:tc>
        <w:tc>
          <w:tcPr>
            <w:tcW w:w="2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Resources are grouped into enclaves. Access controlled at the gateway. Intra-enclave traffic is implicitly trusted.</w:t>
            </w:r>
          </w:p>
        </w:tc>
        <w:tc>
          <w:tcPr>
            <w:tcW w:w="32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replaces implicit intra-enclave trust with workload-level micro-segmentation. ADM validates all intra-enclave flows — no assumed trust within zones.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Resource Portal-Based ZTA</w:t>
            </w:r>
          </w:p>
        </w:tc>
        <w:tc>
          <w:tcPr>
            <w:tcW w:w="2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 resource portal mediates all access. Users connect to the portal which proxies requests to backend resources.</w:t>
            </w:r>
          </w:p>
        </w:tc>
        <w:tc>
          <w:tcPr>
            <w:tcW w:w="32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protects backend resources behind the portal. Enforces that only the portal can reach backend workloads. Detects any bypass of the portal path.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Evidence Collection for NIST 800-207 Compliance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00"/>
        <w:gridCol w:w="2460"/>
        <w:gridCol w:w="2099"/>
        <w:gridCol w:w="2101"/>
      </w:tblGrid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 Artifact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Source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NIST 800-207 Tenet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Frequency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Workload inventory &amp; resource map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Inventory → Export + ADM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1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Protocol compliance report (unencrypted flows)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Search (protocol filter)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2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Quarterly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Per-session flow &amp; policy decision log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Flow Search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3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Continuous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policy workspace + change log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Defend → Workspace History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4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Per change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Vulnerability scan report (trend)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Vulnerability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5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Weekly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Process baseline + anomaly alert log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Alerts → Triggered Events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5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Real-time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Authentication path enforcement log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Policy Analysis (LDAPS rules)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6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Continuous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SIEM telemetry feed + ADM delta report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Platform → Data Export + ADM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7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Continuous / Quarterly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Recommended Deployment Roadmap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80"/>
        <w:gridCol w:w="1919"/>
        <w:gridCol w:w="5041"/>
        <w:gridCol w:w="1920"/>
      </w:tblGrid>
      <w:tr>
        <w:trPr/>
        <w:tc>
          <w:tcPr>
            <w:tcW w:w="4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#</w:t>
            </w:r>
          </w:p>
        </w:tc>
        <w:tc>
          <w:tcPr>
            <w:tcW w:w="191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504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192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Timeline</w:t>
            </w:r>
          </w:p>
        </w:tc>
      </w:tr>
      <w:tr>
        <w:trPr/>
        <w:tc>
          <w:tcPr>
            <w:tcW w:w="4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</w:t>
            </w:r>
          </w:p>
        </w:tc>
        <w:tc>
          <w:tcPr>
            <w:tcW w:w="191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Resource Enumeration</w:t>
            </w:r>
          </w:p>
        </w:tc>
        <w:tc>
          <w:tcPr>
            <w:tcW w:w="504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Deploy CSW sensors on all workloads. Connect cloud accounts. Build complete resource inventory with labels. (Tenet 1)</w:t>
            </w:r>
          </w:p>
        </w:tc>
        <w:tc>
          <w:tcPr>
            <w:tcW w:w="192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Days 1–10</w:t>
            </w:r>
          </w:p>
        </w:tc>
      </w:tr>
      <w:tr>
        <w:trPr/>
        <w:tc>
          <w:tcPr>
            <w:tcW w:w="4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w="191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Communication Visibility</w:t>
            </w:r>
          </w:p>
        </w:tc>
        <w:tc>
          <w:tcPr>
            <w:tcW w:w="504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Run ADM for 2–4 weeks. Map all east-west flows. Identify unencrypted communications. (Tenet 2, 7)</w:t>
            </w:r>
          </w:p>
        </w:tc>
        <w:tc>
          <w:tcPr>
            <w:tcW w:w="192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Days 11–35</w:t>
            </w:r>
          </w:p>
        </w:tc>
      </w:tr>
      <w:tr>
        <w:trPr/>
        <w:tc>
          <w:tcPr>
            <w:tcW w:w="4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3</w:t>
            </w:r>
          </w:p>
        </w:tc>
        <w:tc>
          <w:tcPr>
            <w:tcW w:w="191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Per-Resource Policy</w:t>
            </w:r>
          </w:p>
        </w:tc>
        <w:tc>
          <w:tcPr>
            <w:tcW w:w="504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Build workload-level allowlist policies from ADM. Deploy default-deny for all sensitive scopes. (Tenet 3)</w:t>
            </w:r>
          </w:p>
        </w:tc>
        <w:tc>
          <w:tcPr>
            <w:tcW w:w="192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Days 36–50</w:t>
            </w:r>
          </w:p>
        </w:tc>
      </w:tr>
      <w:tr>
        <w:trPr/>
        <w:tc>
          <w:tcPr>
            <w:tcW w:w="4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4</w:t>
            </w:r>
          </w:p>
        </w:tc>
        <w:tc>
          <w:tcPr>
            <w:tcW w:w="191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Dynamic Policy Enablement</w:t>
            </w:r>
          </w:p>
        </w:tc>
        <w:tc>
          <w:tcPr>
            <w:tcW w:w="504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Integrate CSW API with SOAR. Enable label-driven dynamic scoping. Configure vulnerability-informed compensating controls. (Tenet 4)</w:t>
            </w:r>
          </w:p>
        </w:tc>
        <w:tc>
          <w:tcPr>
            <w:tcW w:w="192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Days 51–65</w:t>
            </w:r>
          </w:p>
        </w:tc>
      </w:tr>
      <w:tr>
        <w:trPr/>
        <w:tc>
          <w:tcPr>
            <w:tcW w:w="4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5</w:t>
            </w:r>
          </w:p>
        </w:tc>
        <w:tc>
          <w:tcPr>
            <w:tcW w:w="191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 Posture Monitoring</w:t>
            </w:r>
          </w:p>
        </w:tc>
        <w:tc>
          <w:tcPr>
            <w:tcW w:w="504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Enable SIEM integration. Configure anomaly detection alerts. Establish weekly vulnerability reporting cadence. (Tenet 5, 7)</w:t>
            </w:r>
          </w:p>
        </w:tc>
        <w:tc>
          <w:tcPr>
            <w:tcW w:w="192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Days 66–75</w:t>
            </w:r>
          </w:p>
        </w:tc>
      </w:tr>
      <w:tr>
        <w:trPr/>
        <w:tc>
          <w:tcPr>
            <w:tcW w:w="4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6</w:t>
            </w:r>
          </w:p>
        </w:tc>
        <w:tc>
          <w:tcPr>
            <w:tcW w:w="191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Auth Path Enforcement</w:t>
            </w:r>
          </w:p>
        </w:tc>
        <w:tc>
          <w:tcPr>
            <w:tcW w:w="504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Enforce LDAPS-only paths. Block plain LDAP, Telnet, FTP to sensitive scopes. Pair with IdP/ZTNA for full Tenet 6 coverage. (Tenet 6)</w:t>
            </w:r>
          </w:p>
        </w:tc>
        <w:tc>
          <w:tcPr>
            <w:tcW w:w="192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Days 76–90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 |  Cisco Confidential  |  Page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 |  Cisco Confidential  |  Page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NIST SP 800-207 ZERO TRUST ARCHITECTURE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NIST SP 800-207 ZERO TRUST ARCHITECTURE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003366"/>
      <w:sz w:val="36"/>
      <w:szCs w:val="36"/>
    </w:rPr>
  </w:style>
  <w:style w:type="paragraph" w:styleId="Heading2">
    <w:name w:val="heading 2"/>
    <w:basedOn w:val="Heading"/>
    <w:qFormat/>
    <w:pPr>
      <w:spacing w:before="300" w:after="160"/>
      <w:outlineLvl w:val="1"/>
    </w:pPr>
    <w:rPr>
      <w:rFonts w:ascii="Arial" w:hAnsi="Arial" w:eastAsia="Arial" w:cs="Arial"/>
      <w:b/>
      <w:bCs/>
      <w:color w:val="0070C0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2026-05-01T00:02:05Z</dcterms:created>
  <dc:creator>Un-named</dc:creator>
  <dc:description/>
  <dc:language>en-US</dc:language>
  <cp:lastModifiedBy>Un-named</cp:lastModifiedBy>
  <dcterms:modified xsi:type="dcterms:W3CDTF">2026-05-01T00:02:05Z</dcterms:modified>
  <cp:revision>1</cp:revision>
  <dc:subject/>
  <dc:title/>
</cp:coreProperties>
</file>