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NIST SP 800-82 Compliance Report</w:t>
      </w:r>
    </w:p>
    <w:bookmarkStart w:id="22" w:name="Xc5311755b19c182beda03d2259822b4a09abfa3"/>
    <w:p>
      <w:pPr>
        <w:pStyle w:val="Heading1"/>
      </w:pPr>
      <w:r>
        <w:t xml:space="preserve">Cisco Secure Workload - NIST SP 800-82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NIST SP 800-82 Revision 3 - Guide to Operational Technology (OT) Security (September 2023)</w:t>
      </w:r>
      <w:r>
        <w:br/>
      </w:r>
      <w:r>
        <w:rPr>
          <w:b/>
          <w:bCs/>
        </w:rPr>
        <w:t xml:space="preserve">Primary audience:</w:t>
      </w:r>
      <w:r>
        <w:t xml:space="preserve"> </w:t>
      </w:r>
      <w:r>
        <w:t xml:space="preserve">Industrial / critical-infrastructure operators (manufacturing, energy, water, transportation, pharma, food production) and any organisation with an OT estate whose IT-side boundary must demonstrate segmentation hygiene.</w:t>
      </w:r>
      <w:r>
        <w:br/>
      </w:r>
      <w:r>
        <w:rPr>
          <w:b/>
          <w:bCs/>
        </w:rPr>
        <w:t xml:space="preserve">CSW positioning:</w:t>
      </w:r>
      <w:r>
        <w:t xml:space="preserve"> </w:t>
      </w:r>
      <w:r>
        <w:t xml:space="preserve">IT-side segmentation adjacent to OT zones; the OT device layer is addressed by an OT-native product (Cyber Vision, Claroty, Nozomi). CSW focuses on the IT-side workloads (historians, engineering workstations, jump hosts, IT/OT DMZ, monitoring, patch / asset servers).</w:t>
      </w:r>
    </w:p>
    <w:p>
      <w:r>
        <w:pict>
          <v:rect style="width:0;height:1.5pt" o:hralign="center" o:hrstd="t" o:hr="t"/>
        </w:pict>
      </w:r>
    </w:p>
    <w:bookmarkEnd w:id="9"/>
    <w:bookmarkStart w:id="10" w:name="framework-version-note"/>
    <w:p>
      <w:pPr>
        <w:pStyle w:val="Heading2"/>
      </w:pPr>
      <w:r>
        <w:t xml:space="preserve">Framework Version Note</w:t>
      </w:r>
    </w:p>
    <w:p>
      <w:pPr>
        <w:pStyle w:val="FirstParagraph"/>
      </w:pPr>
      <w:r>
        <w:t xml:space="preserve">NIST SP 800-82 Rev. 3 is guidance, not a separate control catalogue. It uses NIST SP 800-53 Rev. 5 as its underlying control framework and provides an OT-tailored overlay. This report references 800-82 topic areas and the 800-53 control families they align to; the customer’s OT cybersecurity programme determines the actual control tailoring.</w:t>
      </w:r>
    </w:p>
    <w:bookmarkEnd w:id="10"/>
    <w:bookmarkStart w:id="11" w:name="csw-ui-navigation-note"/>
    <w:p>
      <w:pPr>
        <w:pStyle w:val="Heading2"/>
      </w:pPr>
      <w:r>
        <w:t xml:space="preserve">CSW UI Navigation Note</w:t>
      </w:r>
    </w:p>
    <w:p>
      <w:pPr>
        <w:pStyle w:val="FirstParagraph"/>
      </w:pPr>
      <w:r>
        <w:t xml:space="preserve">Cisco does not yet publish framework-specific CSW UI navigation for this standard; framework-specific navigation is on the product roadmap. This report references CSW</w:t>
      </w:r>
      <w:r>
        <w:t xml:space="preserve"> </w:t>
      </w:r>
      <w:r>
        <w:rPr>
          <w:i/>
          <w:iCs/>
        </w:rPr>
        <w:t xml:space="preserve">capabilities</w:t>
      </w:r>
      <w:r>
        <w:t xml:space="preserve"> </w:t>
      </w:r>
      <w:r>
        <w:t xml:space="preserve">and the</w:t>
      </w:r>
      <w:r>
        <w:t xml:space="preserve"> </w:t>
      </w:r>
      <w:r>
        <w:rPr>
          <w:i/>
          <w:iCs/>
        </w:rPr>
        <w:t xml:space="preserve">evidence artifacts</w:t>
      </w:r>
      <w:r>
        <w:t xml:space="preserve"> </w:t>
      </w:r>
      <w:r>
        <w:t xml:space="preserve">they produce. The technical runbook (</w:t>
      </w:r>
      <w:r>
        <w:rPr>
          <w:rStyle w:val="VerbatimChar"/>
        </w:rPr>
        <w:t xml:space="preserve">CSW-NIST-800-82-Technical-Runbook.md</w:t>
      </w:r>
      <w:r>
        <w:t xml:space="preserve">) in this folder contains the deeper engineering detail.</w:t>
      </w:r>
    </w:p>
    <w:p>
      <w:r>
        <w:pict>
          <v:rect style="width:0;height:1.5pt" o:hralign="center" o:hrstd="t" o:hr="t"/>
        </w:pict>
      </w:r>
    </w:p>
    <w:bookmarkEnd w:id="11"/>
    <w:bookmarkStart w:id="12" w:name="executive-summary"/>
    <w:p>
      <w:pPr>
        <w:pStyle w:val="Heading2"/>
      </w:pPr>
      <w:r>
        <w:t>How to read the coverage words</w:t>
      </w:r>
    </w:p>
    <w:p>
      <w:pPr/>
      <w:r>
        <w:rPr>
          <w:b/>
        </w:rPr>
        <w:t>Full Coverage</w:t>
      </w:r>
      <w:r>
        <w:t xml:space="preserve"> on the older reports means Secure Workload can produce that row's artifact. It does not mean the control is met.</w:t>
      </w:r>
    </w:p>
    <w:p>
      <w:pPr/>
      <w:r>
        <w:rPr>
          <w:b/>
        </w:rPr>
        <w:t>Partial Coverage</w:t>
      </w:r>
      <w:r>
        <w:t xml:space="preserve"> means file that export next to another control.</w:t>
      </w:r>
    </w:p>
    <w:p>
      <w:pPr/>
      <w:r>
        <w:rPr>
          <w:b/>
        </w:rPr>
        <w:t>Evidence Required</w:t>
      </w:r>
      <w:r>
        <w:t xml:space="preserve"> means Secure Workload has no record. The customer files the contract, the analysis, or the HR or physical-security evidence.</w:t>
      </w:r>
    </w:p>
    <w:p>
      <w:pPr/>
      <w:r>
        <w:rPr>
          <w:b/>
        </w:rPr>
        <w:t>Direct, Supporting, and Out of scope</w:t>
      </w:r>
      <w:r>
        <w:t xml:space="preserve"> on the newer reports are the same idea in different words. Direct is still evidence, not a pass.</w:t>
      </w:r>
    </w:p>
    <w:p>
      <w:pPr>
        <w:pStyle w:val="Heading2"/>
      </w:pPr>
      <w:r>
        <w:t xml:space="preserve">Executive Summary</w:t>
      </w:r>
    </w:p>
    <w:p>
      <w:pPr>
        <w:pStyle w:val="FirstParagraph"/>
      </w:pPr>
      <w:r>
        <w:t xml:space="preserve">Cisco Secure Workload (CSW) supports a defined subset of this framework. The strongest customer story is not that CSW</w:t>
      </w:r>
      <w:r>
        <w:t xml:space="preserve"> </w:t>
      </w:r>
      <w:r>
        <w:t xml:space="preserve">“certifies”</w:t>
      </w:r>
      <w:r>
        <w:t xml:space="preserve"> </w:t>
      </w:r>
      <w:r>
        <w:t xml:space="preserve">compliance; it is that CSW turns workload communication and inventory into evidence that the customer, the customer’s compliance team, and the customer’s assessor can review. This report describes which framework topics CSW supports, which it does not, what evidence artifacts CSW produces, and how often the customer should collect them. CSW does</w:t>
      </w:r>
      <w:r>
        <w:t xml:space="preserve"> </w:t>
      </w:r>
      <w:r>
        <w:rPr>
          <w:b/>
          <w:bCs/>
        </w:rPr>
        <w:t xml:space="preserve">not</w:t>
      </w:r>
      <w:r>
        <w:t xml:space="preserve"> </w:t>
      </w:r>
      <w:r>
        <w:t xml:space="preserve">replace the customer’s governance, policy, or assessor judgement, and this report is</w:t>
      </w:r>
      <w:r>
        <w:t xml:space="preserve"> </w:t>
      </w:r>
      <w:r>
        <w:rPr>
          <w:b/>
          <w:bCs/>
        </w:rPr>
        <w:t xml:space="preserve">not</w:t>
      </w:r>
      <w:r>
        <w:t xml:space="preserve"> </w:t>
      </w:r>
      <w:r>
        <w:t xml:space="preserve">a control attestation.</w:t>
      </w:r>
    </w:p>
    <w:bookmarkEnd w:id="12"/>
    <w:bookmarkStart w:id="13" w:name="suggested-csw-scope-pattern"/>
    <w:p>
      <w:pPr>
        <w:pStyle w:val="Heading2"/>
      </w:pPr>
      <w:r>
        <w:t xml:space="preserve">Suggested CSW Scope Pattern</w:t>
      </w:r>
    </w:p>
    <w:p>
      <w:pPr>
        <w:pStyle w:val="SourceCode"/>
      </w:pPr>
      <w:r>
        <w:rPr>
          <w:rStyle w:val="VerbatimChar"/>
        </w:rPr>
        <w:t xml:space="preserve">NIST-800-82</w:t>
      </w:r>
      <w:r>
        <w:br/>
      </w:r>
      <w:r>
        <w:rPr>
          <w:rStyle w:val="VerbatimChar"/>
        </w:rPr>
        <w:t xml:space="preserve">├── OT-Adjacent-IT (Historians, Patch-Servers-OT-Direction, Engineering-Workstations, Jump-Hosts-to-OT)</w:t>
      </w:r>
      <w:r>
        <w:br/>
      </w:r>
      <w:r>
        <w:rPr>
          <w:rStyle w:val="VerbatimChar"/>
        </w:rPr>
        <w:t xml:space="preserve">├── OT-Monitoring-IT-Side</w:t>
      </w:r>
      <w:r>
        <w:br/>
      </w:r>
      <w:r>
        <w:rPr>
          <w:rStyle w:val="VerbatimChar"/>
        </w:rPr>
        <w:t xml:space="preserve">├── Enterprise-IT</w:t>
      </w:r>
      <w:r>
        <w:br/>
      </w:r>
      <w:r>
        <w:rPr>
          <w:rStyle w:val="VerbatimChar"/>
        </w:rPr>
        <w:t xml:space="preserve">└── OT-Zones (NOT instrumented by CSW; observed via flow visibility only)</w:t>
      </w:r>
    </w:p>
    <w:p>
      <w:pPr>
        <w:pStyle w:val="FirstParagraph"/>
      </w:pPr>
      <w:r>
        <w:t xml:space="preserve">This scope pattern should be validated with the customer’s architecture, application owners, compliance team, and assessor before it is used for formal evidence.</w:t>
      </w:r>
    </w:p>
    <w:bookmarkEnd w:id="13"/>
    <w:bookmarkStart w:id="14" w:name="in-scope-for-csw-evidence"/>
    <w:p>
      <w:pPr>
        <w:pStyle w:val="Heading2"/>
      </w:pPr>
      <w:r>
        <w:t xml:space="preserve">In Scope for CSW Evidence</w:t>
      </w:r>
    </w:p>
    <w:p>
      <w:pPr>
        <w:pStyle w:val="Compact"/>
        <w:numPr>
          <w:ilvl w:val="0"/>
          <w:numId w:val="1001"/>
        </w:numPr>
      </w:pPr>
      <w:r>
        <w:t xml:space="preserve">Network architecture and segmentation (IT side of the IT/OT boundary) - 800-53 SC-7, AC-4</w:t>
      </w:r>
    </w:p>
    <w:p>
      <w:pPr>
        <w:pStyle w:val="Compact"/>
        <w:numPr>
          <w:ilvl w:val="0"/>
          <w:numId w:val="1001"/>
        </w:numPr>
      </w:pPr>
      <w:r>
        <w:t xml:space="preserve">Monitoring (IT side) - 800-53 SI-4, AU family</w:t>
      </w:r>
    </w:p>
    <w:p>
      <w:pPr>
        <w:pStyle w:val="Compact"/>
        <w:numPr>
          <w:ilvl w:val="0"/>
          <w:numId w:val="1001"/>
        </w:numPr>
      </w:pPr>
      <w:r>
        <w:t xml:space="preserve">Access control (workload-to-workload, IT side) - 800-53 AC-3, AC-4, AC-6</w:t>
      </w:r>
    </w:p>
    <w:p>
      <w:pPr>
        <w:pStyle w:val="Compact"/>
        <w:numPr>
          <w:ilvl w:val="0"/>
          <w:numId w:val="1001"/>
        </w:numPr>
      </w:pPr>
      <w:r>
        <w:t xml:space="preserve">Vulnerability management (reachability-weighted, OT-aware) - 800-53 RA-5, SI-2</w:t>
      </w:r>
    </w:p>
    <w:p>
      <w:pPr>
        <w:pStyle w:val="Compact"/>
        <w:numPr>
          <w:ilvl w:val="0"/>
          <w:numId w:val="1001"/>
        </w:numPr>
      </w:pPr>
      <w:r>
        <w:t xml:space="preserve">Incident response (IT-side forensic input) - 800-53 IR family</w:t>
      </w:r>
    </w:p>
    <w:p>
      <w:pPr>
        <w:pStyle w:val="Compact"/>
        <w:numPr>
          <w:ilvl w:val="0"/>
          <w:numId w:val="1001"/>
        </w:numPr>
      </w:pPr>
      <w:r>
        <w:t xml:space="preserve">Configuration / change management (IT-side workspace baseline) - 800-53 CM family</w:t>
      </w:r>
    </w:p>
    <w:bookmarkEnd w:id="14"/>
    <w:bookmarkStart w:id="15" w:name="Xaed999129ed4b1f11f99b5af2968248bad86dd6"/>
    <w:p>
      <w:pPr>
        <w:pStyle w:val="Heading2"/>
      </w:pPr>
      <w:r>
        <w:t xml:space="preserve">Out of Scope (Must Be Evidenced by Other Controls / Tools / Processes)</w:t>
      </w:r>
    </w:p>
    <w:p>
      <w:pPr>
        <w:pStyle w:val="Compact"/>
        <w:numPr>
          <w:ilvl w:val="0"/>
          <w:numId w:val="1002"/>
        </w:numPr>
      </w:pPr>
      <w:r>
        <w:t xml:space="preserve">OT device-layer policy and protocol inspection (use an OT-native product)</w:t>
      </w:r>
    </w:p>
    <w:p>
      <w:pPr>
        <w:pStyle w:val="Compact"/>
        <w:numPr>
          <w:ilvl w:val="0"/>
          <w:numId w:val="1002"/>
        </w:numPr>
      </w:pPr>
      <w:r>
        <w:t xml:space="preserve">OT change management and OT-side cybersecurity programme governance</w:t>
      </w:r>
    </w:p>
    <w:p>
      <w:pPr>
        <w:pStyle w:val="Compact"/>
        <w:numPr>
          <w:ilvl w:val="0"/>
          <w:numId w:val="1002"/>
        </w:numPr>
      </w:pPr>
      <w:r>
        <w:t xml:space="preserve">Identity management and physical security</w:t>
      </w:r>
    </w:p>
    <w:p>
      <w:pPr>
        <w:pStyle w:val="Compact"/>
        <w:numPr>
          <w:ilvl w:val="0"/>
          <w:numId w:val="1002"/>
        </w:numPr>
      </w:pPr>
      <w:r>
        <w:t xml:space="preserve">Cryptography for OT protocols</w:t>
      </w:r>
    </w:p>
    <w:p>
      <w:pPr>
        <w:pStyle w:val="Compact"/>
        <w:numPr>
          <w:ilvl w:val="0"/>
          <w:numId w:val="1002"/>
        </w:numPr>
      </w:pPr>
      <w:r>
        <w:t xml:space="preserve">BCP/DR for OT operations</w:t>
      </w:r>
    </w:p>
    <w:bookmarkEnd w:id="15"/>
    <w:bookmarkStart w:id="16" w:name="framework-topic-csw-capability-map"/>
    <w:p>
      <w:pPr>
        <w:pStyle w:val="Heading2"/>
      </w:pPr>
      <w:r>
        <w:t xml:space="preserve">Framework Topic → CSW Capability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Framework topic</w:t>
            </w:r>
          </w:p>
        </w:tc>
        <w:tc>
          <w:tcPr/>
          <w:p>
            <w:pPr>
              <w:pStyle w:val="Compact"/>
            </w:pPr>
            <w:r>
              <w:t xml:space="preserve">CSW capability</w:t>
            </w:r>
          </w:p>
        </w:tc>
        <w:tc>
          <w:tcPr/>
          <w:p>
            <w:pPr>
              <w:pStyle w:val="Compact"/>
            </w:pPr>
            <w:r>
              <w:t xml:space="preserve">Evidence artifact</w:t>
            </w:r>
          </w:p>
        </w:tc>
      </w:tr>
      <w:tr>
        <w:tc>
          <w:tcPr/>
          <w:p>
            <w:pPr>
              <w:pStyle w:val="Compact"/>
            </w:pPr>
            <w:r>
              <w:t xml:space="preserve">Network architecture / segmentation (IT side)</w:t>
            </w:r>
          </w:p>
        </w:tc>
        <w:tc>
          <w:tcPr/>
          <w:p>
            <w:pPr>
              <w:pStyle w:val="Compact"/>
            </w:pPr>
            <w:r>
              <w:t xml:space="preserve">Policy workspace; observed IT-OT flows; ADM-derived allowlist</w:t>
            </w:r>
          </w:p>
        </w:tc>
        <w:tc>
          <w:tcPr/>
          <w:p>
            <w:pPr>
              <w:pStyle w:val="Compact"/>
            </w:pPr>
            <w:r>
              <w:t xml:space="preserve">Workspace snapshot + observed IT-OT flow report</w:t>
            </w:r>
          </w:p>
        </w:tc>
      </w:tr>
      <w:tr>
        <w:tc>
          <w:tcPr/>
          <w:p>
            <w:pPr>
              <w:pStyle w:val="Compact"/>
            </w:pPr>
            <w:r>
              <w:t xml:space="preserve">Monitoring (IT side)</w:t>
            </w:r>
          </w:p>
        </w:tc>
        <w:tc>
          <w:tcPr/>
          <w:p>
            <w:pPr>
              <w:pStyle w:val="Compact"/>
            </w:pPr>
            <w:r>
              <w:t xml:space="preserve">Continuous flow / process telemetry; alerts on unauthorised IT-OT flow</w:t>
            </w:r>
          </w:p>
        </w:tc>
        <w:tc>
          <w:tcPr/>
          <w:p>
            <w:pPr>
              <w:pStyle w:val="Compact"/>
            </w:pPr>
            <w:r>
              <w:t xml:space="preserve">Alert and anomaly log scoped to OT-Adjacent-IT</w:t>
            </w:r>
          </w:p>
        </w:tc>
      </w:tr>
      <w:tr>
        <w:tc>
          <w:tcPr/>
          <w:p>
            <w:pPr>
              <w:pStyle w:val="Compact"/>
            </w:pPr>
            <w:r>
              <w:t xml:space="preserve">Access control (IT side)</w:t>
            </w:r>
          </w:p>
        </w:tc>
        <w:tc>
          <w:tcPr/>
          <w:p>
            <w:pPr>
              <w:pStyle w:val="Compact"/>
            </w:pPr>
            <w:r>
              <w:t xml:space="preserve">Workload-to-workload allowlist + enforcement log</w:t>
            </w:r>
          </w:p>
        </w:tc>
        <w:tc>
          <w:tcPr/>
          <w:p>
            <w:pPr>
              <w:pStyle w:val="Compact"/>
            </w:pPr>
            <w:r>
              <w:t xml:space="preserve">Workspace snapshot and violation/exception register</w:t>
            </w:r>
          </w:p>
        </w:tc>
      </w:tr>
      <w:tr>
        <w:tc>
          <w:tcPr/>
          <w:p>
            <w:pPr>
              <w:pStyle w:val="Compact"/>
            </w:pPr>
            <w:r>
              <w:t xml:space="preserve">Vulnerability management (OT-aware)</w:t>
            </w:r>
          </w:p>
        </w:tc>
        <w:tc>
          <w:tcPr/>
          <w:p>
            <w:pPr>
              <w:pStyle w:val="Compact"/>
            </w:pPr>
            <w:r>
              <w:t xml:space="preserve">Reachability-weighted CVE on OT-adjacent IT workloads</w:t>
            </w:r>
          </w:p>
        </w:tc>
        <w:tc>
          <w:tcPr/>
          <w:p>
            <w:pPr>
              <w:pStyle w:val="Compact"/>
            </w:pPr>
            <w:r>
              <w:t xml:space="preserve">Prioritised remediation list with compensating-control register</w:t>
            </w:r>
          </w:p>
        </w:tc>
      </w:tr>
      <w:tr>
        <w:tc>
          <w:tcPr/>
          <w:p>
            <w:pPr>
              <w:pStyle w:val="Compact"/>
            </w:pPr>
            <w:r>
              <w:t xml:space="preserve">Incident response (IT side)</w:t>
            </w:r>
          </w:p>
        </w:tc>
        <w:tc>
          <w:tcPr/>
          <w:p>
            <w:pPr>
              <w:pStyle w:val="Compact"/>
            </w:pPr>
            <w:r>
              <w:t xml:space="preserve">Forensic flow / process search across the incident window</w:t>
            </w:r>
          </w:p>
        </w:tc>
        <w:tc>
          <w:tcPr/>
          <w:p>
            <w:pPr>
              <w:pStyle w:val="Compact"/>
            </w:pPr>
            <w:r>
              <w:t xml:space="preserve">Investigation pack with timeline and impact scope</w:t>
            </w:r>
          </w:p>
        </w:tc>
      </w:tr>
      <w:tr>
        <w:tc>
          <w:tcPr/>
          <w:p>
            <w:pPr>
              <w:pStyle w:val="Compact"/>
            </w:pPr>
            <w:r>
              <w:t xml:space="preserve">Configuration management</w:t>
            </w:r>
          </w:p>
        </w:tc>
        <w:tc>
          <w:tcPr/>
          <w:p>
            <w:pPr>
              <w:pStyle w:val="Compact"/>
            </w:pPr>
            <w:r>
              <w:t xml:space="preserve">Workspace snapshot before/after each change</w:t>
            </w:r>
          </w:p>
        </w:tc>
        <w:tc>
          <w:tcPr/>
          <w:p>
            <w:pPr>
              <w:pStyle w:val="Compact"/>
            </w:pPr>
            <w:r>
              <w:t xml:space="preserve">Change-controlled policy workspace export</w:t>
            </w:r>
          </w:p>
        </w:tc>
      </w:tr>
    </w:tbl>
    <w:bookmarkEnd w:id="16"/>
    <w:bookmarkStart w:id="17" w:name="evidence-collection-approach"/>
    <w:p>
      <w:pPr>
        <w:pStyle w:val="Heading2"/>
      </w:pPr>
      <w:r>
        <w:t xml:space="preserve">Evidence Collection Approach</w:t>
      </w:r>
    </w:p>
    <w:p>
      <w:pPr>
        <w:pStyle w:val="FirstParagraph"/>
      </w:pPr>
      <w:r>
        <w:t xml:space="preserve">The table below describes per-topic evidence collection - what to collect, the CSW source area, and a suggested cadence. The cadence should be tuned to the customer’s audit cycle, regulatory cadence, and risk appetite.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Topic</w:t>
            </w:r>
          </w:p>
        </w:tc>
        <w:tc>
          <w:tcPr/>
          <w:p>
            <w:pPr>
              <w:pStyle w:val="Compact"/>
            </w:pPr>
            <w:r>
              <w:t xml:space="preserve">What to collect</w:t>
            </w:r>
          </w:p>
        </w:tc>
        <w:tc>
          <w:tcPr/>
          <w:p>
            <w:pPr>
              <w:pStyle w:val="Compact"/>
            </w:pPr>
            <w:r>
              <w:t xml:space="preserve">CSW source</w:t>
            </w:r>
          </w:p>
        </w:tc>
        <w:tc>
          <w:tcPr/>
          <w:p>
            <w:pPr>
              <w:pStyle w:val="Compact"/>
            </w:pPr>
            <w:r>
              <w:t xml:space="preserve">Suggested cadence</w:t>
            </w:r>
          </w:p>
        </w:tc>
      </w:tr>
      <w:tr>
        <w:tc>
          <w:tcPr/>
          <w:p>
            <w:pPr>
              <w:pStyle w:val="Compact"/>
            </w:pPr>
            <w:r>
              <w:t xml:space="preserve">OT-adjacent IT inventory</w:t>
            </w:r>
          </w:p>
        </w:tc>
        <w:tc>
          <w:tcPr/>
          <w:p>
            <w:pPr>
              <w:pStyle w:val="Compact"/>
            </w:pPr>
            <w:r>
              <w:t xml:space="preserve">Workloads adjacent to OT zones with isa_level and it_or_ot labels</w:t>
            </w:r>
          </w:p>
        </w:tc>
        <w:tc>
          <w:tcPr/>
          <w:p>
            <w:pPr>
              <w:pStyle w:val="Compact"/>
            </w:pPr>
            <w:r>
              <w:t xml:space="preserve">Inventory + scope membership export</w:t>
            </w:r>
          </w:p>
        </w:tc>
        <w:tc>
          <w:tcPr/>
          <w:p>
            <w:pPr>
              <w:pStyle w:val="Compact"/>
            </w:pPr>
            <w:r>
              <w:t xml:space="preserve">Monthly</w:t>
            </w:r>
          </w:p>
        </w:tc>
      </w:tr>
      <w:tr>
        <w:tc>
          <w:tcPr/>
          <w:p>
            <w:pPr>
              <w:pStyle w:val="Compact"/>
            </w:pPr>
            <w:r>
              <w:t xml:space="preserve">IT-OT boundary flow evidence</w:t>
            </w:r>
          </w:p>
        </w:tc>
        <w:tc>
          <w:tcPr/>
          <w:p>
            <w:pPr>
              <w:pStyle w:val="Compact"/>
            </w:pPr>
            <w:r>
              <w:t xml:space="preserve">Approved vs. observed IT-OT flow comparison</w:t>
            </w:r>
          </w:p>
        </w:tc>
        <w:tc>
          <w:tcPr/>
          <w:p>
            <w:pPr>
              <w:pStyle w:val="Compact"/>
            </w:pPr>
            <w:r>
              <w:t xml:space="preserve">ADM workspace export + policy workspace export</w:t>
            </w:r>
          </w:p>
        </w:tc>
        <w:tc>
          <w:tcPr/>
          <w:p>
            <w:pPr>
              <w:pStyle w:val="Compact"/>
            </w:pPr>
            <w:r>
              <w:t xml:space="preserve">Quarterly</w:t>
            </w:r>
          </w:p>
        </w:tc>
      </w:tr>
      <w:tr>
        <w:tc>
          <w:tcPr/>
          <w:p>
            <w:pPr>
              <w:pStyle w:val="Compact"/>
            </w:pPr>
            <w:r>
              <w:t xml:space="preserve">Jump-host activity</w:t>
            </w:r>
          </w:p>
        </w:tc>
        <w:tc>
          <w:tcPr/>
          <w:p>
            <w:pPr>
              <w:pStyle w:val="Compact"/>
            </w:pPr>
            <w:r>
              <w:t xml:space="preserve">Jump-host flows to OT-Zones with timing</w:t>
            </w:r>
          </w:p>
        </w:tc>
        <w:tc>
          <w:tcPr/>
          <w:p>
            <w:pPr>
              <w:pStyle w:val="Compact"/>
            </w:pPr>
            <w:r>
              <w:t xml:space="preserve">Flow search on Jump-Hosts-to-OT</w:t>
            </w:r>
          </w:p>
        </w:tc>
        <w:tc>
          <w:tcPr/>
          <w:p>
            <w:pPr>
              <w:pStyle w:val="Compact"/>
            </w:pPr>
            <w:r>
              <w:t xml:space="preserve">Continuous; reviewed monthly</w:t>
            </w:r>
          </w:p>
        </w:tc>
      </w:tr>
      <w:tr>
        <w:tc>
          <w:tcPr/>
          <w:p>
            <w:pPr>
              <w:pStyle w:val="Compact"/>
            </w:pPr>
            <w:r>
              <w:t xml:space="preserve">Vulnerability + reachability</w:t>
            </w:r>
          </w:p>
        </w:tc>
        <w:tc>
          <w:tcPr/>
          <w:p>
            <w:pPr>
              <w:pStyle w:val="Compact"/>
            </w:pPr>
            <w:r>
              <w:t xml:space="preserve">CVE list weighted by reach into OT-Zones</w:t>
            </w:r>
          </w:p>
        </w:tc>
        <w:tc>
          <w:tcPr/>
          <w:p>
            <w:pPr>
              <w:pStyle w:val="Compact"/>
            </w:pPr>
            <w:r>
              <w:t xml:space="preserve">Vulnerability report scoped to NIST-800-82</w:t>
            </w:r>
          </w:p>
        </w:tc>
        <w:tc>
          <w:tcPr/>
          <w:p>
            <w:pPr>
              <w:pStyle w:val="Compact"/>
            </w:pPr>
            <w:r>
              <w:t xml:space="preserve">Monthly</w:t>
            </w:r>
          </w:p>
        </w:tc>
      </w:tr>
      <w:tr>
        <w:tc>
          <w:tcPr/>
          <w:p>
            <w:pPr>
              <w:pStyle w:val="Compact"/>
            </w:pPr>
            <w:r>
              <w:t xml:space="preserve">Incident sample (IT side)</w:t>
            </w:r>
          </w:p>
        </w:tc>
        <w:tc>
          <w:tcPr/>
          <w:p>
            <w:pPr>
              <w:pStyle w:val="Compact"/>
            </w:pPr>
            <w:r>
              <w:t xml:space="preserve">One representative IT-side incident timeline</w:t>
            </w:r>
          </w:p>
        </w:tc>
        <w:tc>
          <w:tcPr/>
          <w:p>
            <w:pPr>
              <w:pStyle w:val="Compact"/>
            </w:pPr>
            <w:r>
              <w:t xml:space="preserve">Flow + process search</w:t>
            </w:r>
          </w:p>
        </w:tc>
        <w:tc>
          <w:tcPr/>
          <w:p>
            <w:pPr>
              <w:pStyle w:val="Compact"/>
            </w:pPr>
            <w:r>
              <w:t xml:space="preserve">Per incident; one representative sample per audit cycle</w:t>
            </w:r>
          </w:p>
        </w:tc>
      </w:tr>
    </w:tbl>
    <w:bookmarkEnd w:id="17"/>
    <w:bookmarkStart w:id="18" w:name="pov-workshop-approach"/>
    <w:p>
      <w:pPr>
        <w:pStyle w:val="Heading2"/>
      </w:pPr>
      <w:r>
        <w:t xml:space="preserve">POV / Workshop Approach</w:t>
      </w:r>
    </w:p>
    <w:p>
      <w:pPr>
        <w:pStyle w:val="Compact"/>
        <w:numPr>
          <w:ilvl w:val="0"/>
          <w:numId w:val="1003"/>
        </w:numPr>
      </w:pPr>
      <w:r>
        <w:t xml:space="preserve">Confirm the framework version and assessment cycle with the customer’s compliance team.</w:t>
      </w:r>
    </w:p>
    <w:p>
      <w:pPr>
        <w:pStyle w:val="Compact"/>
        <w:numPr>
          <w:ilvl w:val="0"/>
          <w:numId w:val="1003"/>
        </w:numPr>
      </w:pPr>
      <w:r>
        <w:t xml:space="preserve">Select one business service, regulated boundary, or critical workload group to start with; do not attempt to instrument the entire estate in the POV.</w:t>
      </w:r>
    </w:p>
    <w:p>
      <w:pPr>
        <w:pStyle w:val="Compact"/>
        <w:numPr>
          <w:ilvl w:val="0"/>
          <w:numId w:val="1003"/>
        </w:numPr>
      </w:pPr>
      <w:r>
        <w:t xml:space="preserve">Validate workload coverage and install sensors or configure supported connectors. Document the cannot-instrument register; this is itself evidence.</w:t>
      </w:r>
    </w:p>
    <w:p>
      <w:pPr>
        <w:pStyle w:val="Compact"/>
        <w:numPr>
          <w:ilvl w:val="0"/>
          <w:numId w:val="1003"/>
        </w:numPr>
      </w:pPr>
      <w:r>
        <w:t xml:space="preserve">Apply labels for application, environment, owner, data class, criticality, compliance scope, and any framework-specific tags (e.g. </w:t>
      </w:r>
      <w:r>
        <w:rPr>
          <w:rStyle w:val="VerbatimChar"/>
        </w:rPr>
        <w:t xml:space="preserve">tenant</w:t>
      </w:r>
      <w:r>
        <w:t xml:space="preserve">,</w:t>
      </w:r>
      <w:r>
        <w:t xml:space="preserve"> </w:t>
      </w:r>
      <w:r>
        <w:rPr>
          <w:rStyle w:val="VerbatimChar"/>
        </w:rPr>
        <w:t xml:space="preserve">prototype</w:t>
      </w:r>
      <w:r>
        <w:t xml:space="preserve">,</w:t>
      </w:r>
      <w:r>
        <w:t xml:space="preserve"> </w:t>
      </w:r>
      <w:r>
        <w:rPr>
          <w:rStyle w:val="VerbatimChar"/>
        </w:rPr>
        <w:t xml:space="preserve">isa_level</w:t>
      </w:r>
      <w:r>
        <w:t xml:space="preserve">,</w:t>
      </w:r>
      <w:r>
        <w:t xml:space="preserve"> </w:t>
      </w:r>
      <w:r>
        <w:rPr>
          <w:rStyle w:val="VerbatimChar"/>
        </w:rPr>
        <w:t xml:space="preserve">npi</w:t>
      </w:r>
      <w:r>
        <w:t xml:space="preserve">,</w:t>
      </w:r>
      <w:r>
        <w:t xml:space="preserve"> </w:t>
      </w:r>
      <w:r>
        <w:rPr>
          <w:rStyle w:val="VerbatimChar"/>
        </w:rPr>
        <w:t xml:space="preserve">cui</w:t>
      </w:r>
      <w:r>
        <w:t xml:space="preserve">,</w:t>
      </w:r>
      <w:r>
        <w:t xml:space="preserve"> </w:t>
      </w:r>
      <w:r>
        <w:rPr>
          <w:rStyle w:val="VerbatimChar"/>
        </w:rPr>
        <w:t xml:space="preserve">ephi</w:t>
      </w:r>
      <w:r>
        <w:t xml:space="preserve">).</w:t>
      </w:r>
    </w:p>
    <w:p>
      <w:pPr>
        <w:pStyle w:val="Compact"/>
        <w:numPr>
          <w:ilvl w:val="0"/>
          <w:numId w:val="1003"/>
        </w:numPr>
      </w:pPr>
      <w:r>
        <w:t xml:space="preserve">Observe flows over a representative business window. Minimum two weeks; longer if the customer has month-end, quarterly, or seasonal cycles relevant to the scope.</w:t>
      </w:r>
    </w:p>
    <w:p>
      <w:pPr>
        <w:pStyle w:val="Compact"/>
        <w:numPr>
          <w:ilvl w:val="0"/>
          <w:numId w:val="1003"/>
        </w:numPr>
      </w:pPr>
      <w:r>
        <w:t xml:space="preserve">Use ADM to generate a candidate policy. Review with the application owner. Run in Simulation mode for at least two weeks before any enforcement.</w:t>
      </w:r>
    </w:p>
    <w:p>
      <w:pPr>
        <w:pStyle w:val="Compact"/>
        <w:numPr>
          <w:ilvl w:val="0"/>
          <w:numId w:val="1003"/>
        </w:numPr>
      </w:pPr>
      <w:r>
        <w:t xml:space="preserve">Package inventory, scope, flows, policy, exceptions, and known gaps as the evidence output. Cross-reference this report’s evidence collection table with the customer’s existing audit work-papers.</w:t>
      </w:r>
    </w:p>
    <w:bookmarkEnd w:id="18"/>
    <w:bookmarkStart w:id="19" w:name="boundaries-and-complementary-controls"/>
    <w:p>
      <w:pPr>
        <w:pStyle w:val="Heading2"/>
      </w:pPr>
      <w:r>
        <w:t xml:space="preserve">Boundaries and Complementary Controls</w:t>
      </w:r>
    </w:p>
    <w:p>
      <w:pPr>
        <w:pStyle w:val="FirstParagraph"/>
      </w:pPr>
      <w:r>
        <w:t xml:space="preserve">CSW does not enforce policy on OT devices, parse OT protocols (Modbus, DNP3, S7, OPC UA, etc.), manage OT change windows, replace an OT-native product (Cyber Vision, Claroty, Nozomi), or replace the OT cybersecurity programme.</w:t>
      </w:r>
    </w:p>
    <w:bookmarkEnd w:id="19"/>
    <w:bookmarkStart w:id="20" w:name="assessor-auditor-caveat"/>
    <w:p>
      <w:pPr>
        <w:pStyle w:val="Heading2"/>
      </w:pPr>
      <w:r>
        <w:t xml:space="preserve">Assessor / Auditor Caveat</w:t>
      </w:r>
    </w:p>
    <w:p>
      <w:pPr>
        <w:pStyle w:val="FirstParagraph"/>
      </w:pPr>
      <w:r>
        <w:t xml:space="preserve">CSW provides technical evidence inputs. The customer’s qualified assessor, auditor, certifying body, or regulator determines compliance status. Validate all framework-topic mappings, control IDs, paragraph references, and section numbers in this report against the current official framework text. If the customer is being assessed against a version other than the one referenced in the framework version note above, revalidate before use.</w:t>
      </w:r>
    </w:p>
    <w:bookmarkEnd w:id="20"/>
    <w:bookmarkStart w:id="21"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NIST SP 800-82 Compliance Report</dc:title>
  <dc:creator/>
  <cp:keywords/>
  <dcterms:created xsi:type="dcterms:W3CDTF">2026-05-13T18:07:56Z</dcterms:created>
  <dcterms:modified xsi:type="dcterms:W3CDTF">2026-05-13T18:07:56Z</dcterms:modified>
</cp:coreProperties>
</file>

<file path=docProps/custom.xml><?xml version="1.0" encoding="utf-8"?>
<Properties xmlns="http://schemas.openxmlformats.org/officeDocument/2006/custom-properties" xmlns:vt="http://schemas.openxmlformats.org/officeDocument/2006/docPropsVTypes"/>
</file>