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Cisco Secure Workload - NY DFS Part 500 Compliance Report</w:t>
      </w:r>
    </w:p>
    <w:bookmarkStart w:id="22" w:name="Xd50dc11480d81b5e152cb892ea59f2e3d1542f6"/>
    <w:p>
      <w:pPr>
        <w:pStyle w:val="Heading1"/>
      </w:pPr>
      <w:r>
        <w:t xml:space="preserve">Cisco Secure Workload - NY DFS Part 500 Compliance Report</w:t>
      </w:r>
    </w:p>
    <w:bookmarkStart w:id="9" w:name="customer-facing-compliance-report"/>
    <w:p>
      <w:pPr>
        <w:pStyle w:val="Heading2"/>
      </w:pPr>
      <w:r>
        <w:t xml:space="preserve">Customer-Facing Compliance Report</w:t>
      </w:r>
    </w:p>
    <w:p>
      <w:pPr>
        <w:pStyle w:val="FirstParagraph"/>
      </w:pPr>
      <w:r>
        <w:rPr>
          <w:b/>
          <w:bCs/>
        </w:rPr>
        <w:t xml:space="preserve">Framework:</w:t>
      </w:r>
      <w:r>
        <w:t xml:space="preserve"> </w:t>
      </w:r>
      <w:r>
        <w:t xml:space="preserve">NY DFS 23 NYCRR Part 500 (Second Amendment, effective 1 November 2023)</w:t>
      </w:r>
      <w:r>
        <w:br/>
      </w:r>
      <w:r>
        <w:rPr>
          <w:b/>
          <w:bCs/>
        </w:rPr>
        <w:t xml:space="preserve">Primary audience:</w:t>
      </w:r>
      <w:r>
        <w:t xml:space="preserve"> </w:t>
      </w:r>
      <w:r>
        <w:t xml:space="preserve">Covered entities under 23 NYCRR Part 500 (banks, insurance companies, licensed lenders, money transmitters, virtual-currency businesses, etc.); the CISO designated under Section 500.4, risk and audit leaders, and compliance teams preparing the annual notice of compliance.</w:t>
      </w:r>
      <w:r>
        <w:br/>
      </w:r>
      <w:r>
        <w:rPr>
          <w:b/>
          <w:bCs/>
        </w:rPr>
        <w:t xml:space="preserve">CSW positioning:</w:t>
      </w:r>
      <w:r>
        <w:t xml:space="preserve"> </w:t>
      </w:r>
      <w:r>
        <w:t xml:space="preserve">Covered workload visibility, NPI segmentation, access privilege evidence, monitoring, vulnerability management, audit trail, and incident scoping.</w:t>
      </w:r>
    </w:p>
    <w:p>
      <w:r>
        <w:pict>
          <v:rect style="width:0;height:1.5pt" o:hralign="center" o:hrstd="t" o:hr="t"/>
        </w:pict>
      </w:r>
    </w:p>
    <w:bookmarkEnd w:id="9"/>
    <w:bookmarkStart w:id="10" w:name="framework-version-note"/>
    <w:p>
      <w:pPr>
        <w:pStyle w:val="Heading2"/>
      </w:pPr>
      <w:r>
        <w:t xml:space="preserve">Framework Version Note</w:t>
      </w:r>
    </w:p>
    <w:p>
      <w:pPr>
        <w:pStyle w:val="FirstParagraph"/>
      </w:pPr>
      <w:r>
        <w:t xml:space="preserve">References 23 NYCRR Part 500 as amended in November 2023. Several requirements have phased transition dates through 2024-2025 (e.g. Sections 500.7, 500.13, 500.14, 500.15, 500.17). Validate the applicable effective date for each requirement against the DFS published rule.</w:t>
      </w:r>
    </w:p>
    <w:bookmarkEnd w:id="10"/>
    <w:bookmarkStart w:id="11" w:name="csw-ui-navigation-note"/>
    <w:p>
      <w:pPr>
        <w:pStyle w:val="Heading2"/>
      </w:pPr>
      <w:r>
        <w:t xml:space="preserve">CSW UI Navigation Note</w:t>
      </w:r>
    </w:p>
    <w:p>
      <w:pPr>
        <w:pStyle w:val="FirstParagraph"/>
      </w:pPr>
      <w:r>
        <w:t xml:space="preserve">Cisco does not yet publish framework-specific CSW UI navigation for this standard; framework-specific navigation is on the product roadmap. This report references CSW</w:t>
      </w:r>
      <w:r>
        <w:t xml:space="preserve"> </w:t>
      </w:r>
      <w:r>
        <w:rPr>
          <w:i/>
          <w:iCs/>
        </w:rPr>
        <w:t xml:space="preserve">capabilities</w:t>
      </w:r>
      <w:r>
        <w:t xml:space="preserve"> </w:t>
      </w:r>
      <w:r>
        <w:t xml:space="preserve">and the</w:t>
      </w:r>
      <w:r>
        <w:t xml:space="preserve"> </w:t>
      </w:r>
      <w:r>
        <w:rPr>
          <w:i/>
          <w:iCs/>
        </w:rPr>
        <w:t xml:space="preserve">evidence artifacts</w:t>
      </w:r>
      <w:r>
        <w:t xml:space="preserve"> </w:t>
      </w:r>
      <w:r>
        <w:t xml:space="preserve">they produce. The technical runbook (</w:t>
      </w:r>
      <w:r>
        <w:rPr>
          <w:rStyle w:val="VerbatimChar"/>
        </w:rPr>
        <w:t xml:space="preserve">CSW-NYDFS-Technical-Runbook.md</w:t>
      </w:r>
      <w:r>
        <w:t xml:space="preserve">) in this folder contains the deeper engineering detail.</w:t>
      </w:r>
    </w:p>
    <w:p>
      <w:r>
        <w:pict>
          <v:rect style="width:0;height:1.5pt" o:hralign="center" o:hrstd="t" o:hr="t"/>
        </w:pict>
      </w:r>
    </w:p>
    <w:bookmarkEnd w:id="11"/>
    <w:bookmarkStart w:id="12" w:name="executive-summary"/>
    <w:p>
      <w:pPr>
        <w:pStyle w:val="Heading2"/>
      </w:pPr>
      <w:r>
        <w:t>How to read the coverage words</w:t>
      </w:r>
    </w:p>
    <w:p>
      <w:pPr/>
      <w:r>
        <w:rPr>
          <w:b/>
        </w:rPr>
        <w:t>Full Coverage</w:t>
      </w:r>
      <w:r>
        <w:t xml:space="preserve"> on the older reports means Secure Workload can produce that row's artifact. It does not mean the control is met.</w:t>
      </w:r>
    </w:p>
    <w:p>
      <w:pPr/>
      <w:r>
        <w:rPr>
          <w:b/>
        </w:rPr>
        <w:t>Partial Coverage</w:t>
      </w:r>
      <w:r>
        <w:t xml:space="preserve"> means file that export next to another control.</w:t>
      </w:r>
    </w:p>
    <w:p>
      <w:pPr/>
      <w:r>
        <w:rPr>
          <w:b/>
        </w:rPr>
        <w:t>Evidence Required</w:t>
      </w:r>
      <w:r>
        <w:t xml:space="preserve"> means Secure Workload has no record. The customer files the contract, the analysis, or the HR or physical-security evidence.</w:t>
      </w:r>
    </w:p>
    <w:p>
      <w:pPr/>
      <w:r>
        <w:rPr>
          <w:b/>
        </w:rPr>
        <w:t>Direct, Supporting, and Out of scope</w:t>
      </w:r>
      <w:r>
        <w:t xml:space="preserve"> on the newer reports are the same idea in different words. Direct is still evidence, not a pass.</w:t>
      </w:r>
    </w:p>
    <w:p>
      <w:pPr>
        <w:pStyle w:val="Heading2"/>
      </w:pPr>
      <w:r>
        <w:t xml:space="preserve">Executive Summary</w:t>
      </w:r>
    </w:p>
    <w:p>
      <w:pPr>
        <w:pStyle w:val="FirstParagraph"/>
      </w:pPr>
      <w:r>
        <w:t xml:space="preserve">Cisco Secure Workload (CSW) supports a defined subset of this framework. The strongest customer story is not that CSW</w:t>
      </w:r>
      <w:r>
        <w:t xml:space="preserve"> </w:t>
      </w:r>
      <w:r>
        <w:t xml:space="preserve">“certifies”</w:t>
      </w:r>
      <w:r>
        <w:t xml:space="preserve"> </w:t>
      </w:r>
      <w:r>
        <w:t xml:space="preserve">compliance; it is that CSW turns workload communication and inventory into evidence that the customer, the customer’s compliance team, and the customer’s assessor can review. This report describes which framework topics CSW supports, which it does not, what evidence artifacts CSW produces, and how often the customer should collect them. CSW does</w:t>
      </w:r>
      <w:r>
        <w:t xml:space="preserve"> </w:t>
      </w:r>
      <w:r>
        <w:rPr>
          <w:b/>
          <w:bCs/>
        </w:rPr>
        <w:t xml:space="preserve">not</w:t>
      </w:r>
      <w:r>
        <w:t xml:space="preserve"> </w:t>
      </w:r>
      <w:r>
        <w:t xml:space="preserve">replace the customer’s governance, policy, or assessor judgement, and this report is</w:t>
      </w:r>
      <w:r>
        <w:t xml:space="preserve"> </w:t>
      </w:r>
      <w:r>
        <w:rPr>
          <w:b/>
          <w:bCs/>
        </w:rPr>
        <w:t xml:space="preserve">not</w:t>
      </w:r>
      <w:r>
        <w:t xml:space="preserve"> </w:t>
      </w:r>
      <w:r>
        <w:t xml:space="preserve">a control attestation.</w:t>
      </w:r>
    </w:p>
    <w:bookmarkEnd w:id="12"/>
    <w:bookmarkStart w:id="13" w:name="suggested-csw-scope-pattern"/>
    <w:p>
      <w:pPr>
        <w:pStyle w:val="Heading2"/>
      </w:pPr>
      <w:r>
        <w:t xml:space="preserve">Suggested CSW Scope Pattern</w:t>
      </w:r>
    </w:p>
    <w:p>
      <w:pPr>
        <w:pStyle w:val="SourceCode"/>
      </w:pPr>
      <w:r>
        <w:rPr>
          <w:rStyle w:val="VerbatimChar"/>
        </w:rPr>
        <w:t xml:space="preserve">NYDFS-500</w:t>
      </w:r>
      <w:r>
        <w:br/>
      </w:r>
      <w:r>
        <w:rPr>
          <w:rStyle w:val="VerbatimChar"/>
        </w:rPr>
        <w:t xml:space="preserve">├── Covered-Systems (Customer-Channels, Account-and-Ledger, Payments-and-Settlement, Underwriting-Claims)</w:t>
      </w:r>
      <w:r>
        <w:br/>
      </w:r>
      <w:r>
        <w:rPr>
          <w:rStyle w:val="VerbatimChar"/>
        </w:rPr>
        <w:t xml:space="preserve">├── NPI-Applications (Customer-Data-Stores, Analytics-on-NPI)</w:t>
      </w:r>
      <w:r>
        <w:br/>
      </w:r>
      <w:r>
        <w:rPr>
          <w:rStyle w:val="VerbatimChar"/>
        </w:rPr>
        <w:t xml:space="preserve">├── Critical-Operations (Identity-Adjacent, Monitoring, Patch-Management)</w:t>
      </w:r>
      <w:r>
        <w:br/>
      </w:r>
      <w:r>
        <w:rPr>
          <w:rStyle w:val="VerbatimChar"/>
        </w:rPr>
        <w:t xml:space="preserve">└── Third-Party-Service-Providers</w:t>
      </w:r>
    </w:p>
    <w:p>
      <w:pPr>
        <w:pStyle w:val="FirstParagraph"/>
      </w:pPr>
      <w:r>
        <w:t xml:space="preserve">This scope pattern should be validated with the customer’s architecture, application owners, compliance team, and assessor before it is used for formal evidence.</w:t>
      </w:r>
    </w:p>
    <w:bookmarkEnd w:id="13"/>
    <w:bookmarkStart w:id="14" w:name="in-scope-for-csw-evidence"/>
    <w:p>
      <w:pPr>
        <w:pStyle w:val="Heading2"/>
      </w:pPr>
      <w:r>
        <w:t xml:space="preserve">In Scope for CSW Evidence</w:t>
      </w:r>
    </w:p>
    <w:p>
      <w:pPr>
        <w:pStyle w:val="Compact"/>
        <w:numPr>
          <w:ilvl w:val="0"/>
          <w:numId w:val="1001"/>
        </w:numPr>
      </w:pPr>
      <w:r>
        <w:t xml:space="preserve">Section 500.2 - Cybersecurity Program (technical inputs)</w:t>
      </w:r>
    </w:p>
    <w:p>
      <w:pPr>
        <w:pStyle w:val="Compact"/>
        <w:numPr>
          <w:ilvl w:val="0"/>
          <w:numId w:val="1001"/>
        </w:numPr>
      </w:pPr>
      <w:r>
        <w:t xml:space="preserve">Section 500.5 - Vulnerability Management (CVE + reachability)</w:t>
      </w:r>
    </w:p>
    <w:p>
      <w:pPr>
        <w:pStyle w:val="Compact"/>
        <w:numPr>
          <w:ilvl w:val="0"/>
          <w:numId w:val="1001"/>
        </w:numPr>
      </w:pPr>
      <w:r>
        <w:t xml:space="preserve">Section 500.6 - Audit Trail (workload network layer)</w:t>
      </w:r>
    </w:p>
    <w:p>
      <w:pPr>
        <w:pStyle w:val="Compact"/>
        <w:numPr>
          <w:ilvl w:val="0"/>
          <w:numId w:val="1001"/>
        </w:numPr>
      </w:pPr>
      <w:r>
        <w:t xml:space="preserve">Section 500.7 - Access Privileges and Management (workload-to-workload)</w:t>
      </w:r>
    </w:p>
    <w:p>
      <w:pPr>
        <w:pStyle w:val="Compact"/>
        <w:numPr>
          <w:ilvl w:val="0"/>
          <w:numId w:val="1001"/>
        </w:numPr>
      </w:pPr>
      <w:r>
        <w:t xml:space="preserve">Section 500.13 - Asset Management and Data Retention (workload inventory)</w:t>
      </w:r>
    </w:p>
    <w:p>
      <w:pPr>
        <w:pStyle w:val="Compact"/>
        <w:numPr>
          <w:ilvl w:val="0"/>
          <w:numId w:val="1001"/>
        </w:numPr>
      </w:pPr>
      <w:r>
        <w:t xml:space="preserve">Section 500.14 - Monitoring and Training (technical monitoring)</w:t>
      </w:r>
    </w:p>
    <w:p>
      <w:pPr>
        <w:pStyle w:val="Compact"/>
        <w:numPr>
          <w:ilvl w:val="0"/>
          <w:numId w:val="1001"/>
        </w:numPr>
      </w:pPr>
      <w:r>
        <w:t xml:space="preserve">Section 500.16 - Incident Response (forensic timeline)</w:t>
      </w:r>
    </w:p>
    <w:bookmarkEnd w:id="14"/>
    <w:bookmarkStart w:id="15" w:name="Xaed999129ed4b1f11f99b5af2968248bad86dd6"/>
    <w:p>
      <w:pPr>
        <w:pStyle w:val="Heading2"/>
      </w:pPr>
      <w:r>
        <w:t xml:space="preserve">Out of Scope (Must Be Evidenced by Other Controls / Tools / Processes)</w:t>
      </w:r>
    </w:p>
    <w:p>
      <w:pPr>
        <w:pStyle w:val="Compact"/>
        <w:numPr>
          <w:ilvl w:val="0"/>
          <w:numId w:val="1002"/>
        </w:numPr>
      </w:pPr>
      <w:r>
        <w:t xml:space="preserve">Section 500.3 - Cybersecurity Policy (governance)</w:t>
      </w:r>
    </w:p>
    <w:p>
      <w:pPr>
        <w:pStyle w:val="Compact"/>
        <w:numPr>
          <w:ilvl w:val="0"/>
          <w:numId w:val="1002"/>
        </w:numPr>
      </w:pPr>
      <w:r>
        <w:t xml:space="preserve">Section 500.4 - CISO role</w:t>
      </w:r>
    </w:p>
    <w:p>
      <w:pPr>
        <w:pStyle w:val="Compact"/>
        <w:numPr>
          <w:ilvl w:val="0"/>
          <w:numId w:val="1002"/>
        </w:numPr>
      </w:pPr>
      <w:r>
        <w:t xml:space="preserve">Section 500.12 - MFA (identity layer)</w:t>
      </w:r>
    </w:p>
    <w:p>
      <w:pPr>
        <w:pStyle w:val="Compact"/>
        <w:numPr>
          <w:ilvl w:val="0"/>
          <w:numId w:val="1002"/>
        </w:numPr>
      </w:pPr>
      <w:r>
        <w:t xml:space="preserve">Section 500.15 - Encryption (CSW detects plaintext flows but does not enforce encryption)</w:t>
      </w:r>
    </w:p>
    <w:p>
      <w:pPr>
        <w:pStyle w:val="Compact"/>
        <w:numPr>
          <w:ilvl w:val="0"/>
          <w:numId w:val="1002"/>
        </w:numPr>
      </w:pPr>
      <w:r>
        <w:t xml:space="preserve">Section 500.17(a) - 72-hour notification decision (CSW provides scoping inputs only)</w:t>
      </w:r>
    </w:p>
    <w:p>
      <w:pPr>
        <w:pStyle w:val="Compact"/>
        <w:numPr>
          <w:ilvl w:val="0"/>
          <w:numId w:val="1002"/>
        </w:numPr>
      </w:pPr>
      <w:r>
        <w:t xml:space="preserve">Section 500.17(b) - Annual notice of compliance / senior officer certification (governance)</w:t>
      </w:r>
    </w:p>
    <w:bookmarkEnd w:id="15"/>
    <w:bookmarkStart w:id="16" w:name="framework-topic-csw-capability-map"/>
    <w:p>
      <w:pPr>
        <w:pStyle w:val="Heading2"/>
      </w:pPr>
      <w:r>
        <w:t xml:space="preserve">Framework Topic → CSW Capability Map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Framework topic</w:t>
            </w:r>
          </w:p>
        </w:tc>
        <w:tc>
          <w:tcPr/>
          <w:p>
            <w:pPr>
              <w:pStyle w:val="Compact"/>
            </w:pPr>
            <w:r>
              <w:t xml:space="preserve">CSW capability</w:t>
            </w:r>
          </w:p>
        </w:tc>
        <w:tc>
          <w:tcPr/>
          <w:p>
            <w:pPr>
              <w:pStyle w:val="Compact"/>
            </w:pPr>
            <w:r>
              <w:t xml:space="preserve">Evidence artifact</w:t>
            </w:r>
          </w:p>
        </w:tc>
      </w:tr>
      <w:tr>
        <w:tc>
          <w:tcPr/>
          <w:p>
            <w:pPr>
              <w:pStyle w:val="Compact"/>
            </w:pPr>
            <w:r>
              <w:t xml:space="preserve">Section 500.2 - Program operation</w:t>
            </w:r>
          </w:p>
        </w:tc>
        <w:tc>
          <w:tcPr/>
          <w:p>
            <w:pPr>
              <w:pStyle w:val="Compact"/>
            </w:pPr>
            <w:r>
              <w:t xml:space="preserve">Continuous workload telemetry + periodic evidence pack</w:t>
            </w:r>
          </w:p>
        </w:tc>
        <w:tc>
          <w:tcPr/>
          <w:p>
            <w:pPr>
              <w:pStyle w:val="Compact"/>
            </w:pPr>
            <w:r>
              <w:t xml:space="preserve">Quarterly evidence bundle demonstrating program operating across covered workloads</w:t>
            </w:r>
          </w:p>
        </w:tc>
      </w:tr>
      <w:tr>
        <w:tc>
          <w:tcPr/>
          <w:p>
            <w:pPr>
              <w:pStyle w:val="Compact"/>
            </w:pPr>
            <w:r>
              <w:t xml:space="preserve">Section 500.5 - Vulnerability management</w:t>
            </w:r>
          </w:p>
        </w:tc>
        <w:tc>
          <w:tcPr/>
          <w:p>
            <w:pPr>
              <w:pStyle w:val="Compact"/>
            </w:pPr>
            <w:r>
              <w:t xml:space="preserve">Reachability-weighted CVE evidence</w:t>
            </w:r>
          </w:p>
        </w:tc>
        <w:tc>
          <w:tcPr/>
          <w:p>
            <w:pPr>
              <w:pStyle w:val="Compact"/>
            </w:pPr>
            <w:r>
              <w:t xml:space="preserve">Prioritised remediation list with compensating controls</w:t>
            </w:r>
          </w:p>
        </w:tc>
      </w:tr>
      <w:tr>
        <w:tc>
          <w:tcPr/>
          <w:p>
            <w:pPr>
              <w:pStyle w:val="Compact"/>
            </w:pPr>
            <w:r>
              <w:t xml:space="preserve">Section 500.6 - Audit trail</w:t>
            </w:r>
          </w:p>
        </w:tc>
        <w:tc>
          <w:tcPr/>
          <w:p>
            <w:pPr>
              <w:pStyle w:val="Compact"/>
            </w:pPr>
            <w:r>
              <w:t xml:space="preserve">Workload flow + process telemetry retained per retention policy</w:t>
            </w:r>
          </w:p>
        </w:tc>
        <w:tc>
          <w:tcPr/>
          <w:p>
            <w:pPr>
              <w:pStyle w:val="Compact"/>
            </w:pPr>
            <w:r>
              <w:t xml:space="preserve">Retained flow telemetry for audit-trail purposes</w:t>
            </w:r>
          </w:p>
        </w:tc>
      </w:tr>
      <w:tr>
        <w:tc>
          <w:tcPr/>
          <w:p>
            <w:pPr>
              <w:pStyle w:val="Compact"/>
            </w:pPr>
            <w:r>
              <w:t xml:space="preserve">Section 500.7 - Access privileges</w:t>
            </w:r>
          </w:p>
        </w:tc>
        <w:tc>
          <w:tcPr/>
          <w:p>
            <w:pPr>
              <w:pStyle w:val="Compact"/>
            </w:pPr>
            <w:r>
              <w:t xml:space="preserve">Policy workspace + enforcement / violation log</w:t>
            </w:r>
          </w:p>
        </w:tc>
        <w:tc>
          <w:tcPr/>
          <w:p>
            <w:pPr>
              <w:pStyle w:val="Compact"/>
            </w:pPr>
            <w:r>
              <w:t xml:space="preserve">Workspace snapshot and least-privilege evidence at workload-to-workload layer</w:t>
            </w:r>
          </w:p>
        </w:tc>
      </w:tr>
      <w:tr>
        <w:tc>
          <w:tcPr/>
          <w:p>
            <w:pPr>
              <w:pStyle w:val="Compact"/>
            </w:pPr>
            <w:r>
              <w:t xml:space="preserve">Section 500.13 - Asset management</w:t>
            </w:r>
          </w:p>
        </w:tc>
        <w:tc>
          <w:tcPr/>
          <w:p>
            <w:pPr>
              <w:pStyle w:val="Compact"/>
            </w:pPr>
            <w:r>
              <w:t xml:space="preserve">Workload inventory; scope + label export</w:t>
            </w:r>
          </w:p>
        </w:tc>
        <w:tc>
          <w:tcPr/>
          <w:p>
            <w:pPr>
              <w:pStyle w:val="Compact"/>
            </w:pPr>
            <w:r>
              <w:t xml:space="preserve">Inventory and classification evidence</w:t>
            </w:r>
          </w:p>
        </w:tc>
      </w:tr>
      <w:tr>
        <w:tc>
          <w:tcPr/>
          <w:p>
            <w:pPr>
              <w:pStyle w:val="Compact"/>
            </w:pPr>
            <w:r>
              <w:t xml:space="preserve">Section 500.14 - Monitoring</w:t>
            </w:r>
          </w:p>
        </w:tc>
        <w:tc>
          <w:tcPr/>
          <w:p>
            <w:pPr>
              <w:pStyle w:val="Compact"/>
            </w:pPr>
            <w:r>
              <w:t xml:space="preserve">Continuous flow + process telemetry; alerts</w:t>
            </w:r>
          </w:p>
        </w:tc>
        <w:tc>
          <w:tcPr/>
          <w:p>
            <w:pPr>
              <w:pStyle w:val="Compact"/>
            </w:pPr>
            <w:r>
              <w:t xml:space="preserve">Monitoring evidence at network and process layer</w:t>
            </w:r>
          </w:p>
        </w:tc>
      </w:tr>
      <w:tr>
        <w:tc>
          <w:tcPr/>
          <w:p>
            <w:pPr>
              <w:pStyle w:val="Compact"/>
            </w:pPr>
            <w:r>
              <w:t xml:space="preserve">Section 500.15 - Encryption (detection)</w:t>
            </w:r>
          </w:p>
        </w:tc>
        <w:tc>
          <w:tcPr/>
          <w:p>
            <w:pPr>
              <w:pStyle w:val="Compact"/>
            </w:pPr>
            <w:r>
              <w:t xml:space="preserve">Plaintext-flow detection on regulated paths</w:t>
            </w:r>
          </w:p>
        </w:tc>
        <w:tc>
          <w:tcPr/>
          <w:p>
            <w:pPr>
              <w:pStyle w:val="Compact"/>
            </w:pPr>
            <w:r>
              <w:t xml:space="preserve">Detection input only - encryption itself is enforced elsewhere</w:t>
            </w:r>
          </w:p>
        </w:tc>
      </w:tr>
      <w:tr>
        <w:tc>
          <w:tcPr/>
          <w:p>
            <w:pPr>
              <w:pStyle w:val="Compact"/>
            </w:pPr>
            <w:r>
              <w:t xml:space="preserve">Section 500.16 - Incident response</w:t>
            </w:r>
          </w:p>
        </w:tc>
        <w:tc>
          <w:tcPr/>
          <w:p>
            <w:pPr>
              <w:pStyle w:val="Compact"/>
            </w:pPr>
            <w:r>
              <w:t xml:space="preserve">Forensic flow + process search</w:t>
            </w:r>
          </w:p>
        </w:tc>
        <w:tc>
          <w:tcPr/>
          <w:p>
            <w:pPr>
              <w:pStyle w:val="Compact"/>
            </w:pPr>
            <w:r>
              <w:t xml:space="preserve">Incident timeline and impact scope</w:t>
            </w:r>
          </w:p>
        </w:tc>
      </w:tr>
      <w:tr>
        <w:tc>
          <w:tcPr/>
          <w:p>
            <w:pPr>
              <w:pStyle w:val="Compact"/>
            </w:pPr>
            <w:r>
              <w:t xml:space="preserve">Section 500.17(a) - Notification scoping</w:t>
            </w:r>
          </w:p>
        </w:tc>
        <w:tc>
          <w:tcPr/>
          <w:p>
            <w:pPr>
              <w:pStyle w:val="Compact"/>
            </w:pPr>
            <w:r>
              <w:t xml:space="preserve">Affected-systems list with time windows and paths</w:t>
            </w:r>
          </w:p>
        </w:tc>
        <w:tc>
          <w:tcPr/>
          <w:p>
            <w:pPr>
              <w:pStyle w:val="Compact"/>
            </w:pPr>
            <w:r>
              <w:t xml:space="preserve">Scoping input to the 72-hour notification decision</w:t>
            </w:r>
          </w:p>
        </w:tc>
      </w:tr>
    </w:tbl>
    <w:bookmarkEnd w:id="16"/>
    <w:bookmarkStart w:id="17" w:name="evidence-collection-approach"/>
    <w:p>
      <w:pPr>
        <w:pStyle w:val="Heading2"/>
      </w:pPr>
      <w:r>
        <w:t xml:space="preserve">Evidence Collection Approach</w:t>
      </w:r>
    </w:p>
    <w:p>
      <w:pPr>
        <w:pStyle w:val="FirstParagraph"/>
      </w:pPr>
      <w:r>
        <w:t xml:space="preserve">The table below describes per-topic evidence collection - what to collect, the CSW source area, and a suggested cadence. The cadence should be tuned to the customer’s audit cycle, regulatory cadence, and risk appetite.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Topic</w:t>
            </w:r>
          </w:p>
        </w:tc>
        <w:tc>
          <w:tcPr/>
          <w:p>
            <w:pPr>
              <w:pStyle w:val="Compact"/>
            </w:pPr>
            <w:r>
              <w:t xml:space="preserve">What to collect</w:t>
            </w:r>
          </w:p>
        </w:tc>
        <w:tc>
          <w:tcPr/>
          <w:p>
            <w:pPr>
              <w:pStyle w:val="Compact"/>
            </w:pPr>
            <w:r>
              <w:t xml:space="preserve">CSW source</w:t>
            </w:r>
          </w:p>
        </w:tc>
        <w:tc>
          <w:tcPr/>
          <w:p>
            <w:pPr>
              <w:pStyle w:val="Compact"/>
            </w:pPr>
            <w:r>
              <w:t xml:space="preserve">Suggested cadence</w:t>
            </w:r>
          </w:p>
        </w:tc>
      </w:tr>
      <w:tr>
        <w:tc>
          <w:tcPr/>
          <w:p>
            <w:pPr>
              <w:pStyle w:val="Compact"/>
            </w:pPr>
            <w:r>
              <w:t xml:space="preserve">Covered workload inventory</w:t>
            </w:r>
          </w:p>
        </w:tc>
        <w:tc>
          <w:tcPr/>
          <w:p>
            <w:pPr>
              <w:pStyle w:val="Compact"/>
            </w:pPr>
            <w:r>
              <w:t xml:space="preserve">Information systems in scope of Part 500</w:t>
            </w:r>
          </w:p>
        </w:tc>
        <w:tc>
          <w:tcPr/>
          <w:p>
            <w:pPr>
              <w:pStyle w:val="Compact"/>
            </w:pPr>
            <w:r>
              <w:t xml:space="preserve">Inventory + scope membership export</w:t>
            </w:r>
          </w:p>
        </w:tc>
        <w:tc>
          <w:tcPr/>
          <w:p>
            <w:pPr>
              <w:pStyle w:val="Compact"/>
            </w:pPr>
            <w:r>
              <w:t xml:space="preserve">Monthly</w:t>
            </w:r>
          </w:p>
        </w:tc>
      </w:tr>
      <w:tr>
        <w:tc>
          <w:tcPr/>
          <w:p>
            <w:pPr>
              <w:pStyle w:val="Compact"/>
            </w:pPr>
            <w:r>
              <w:t xml:space="preserve">NPI scope evidence</w:t>
            </w:r>
          </w:p>
        </w:tc>
        <w:tc>
          <w:tcPr/>
          <w:p>
            <w:pPr>
              <w:pStyle w:val="Compact"/>
            </w:pPr>
            <w:r>
              <w:t xml:space="preserve">Workloads handling nonpublic information</w:t>
            </w:r>
          </w:p>
        </w:tc>
        <w:tc>
          <w:tcPr/>
          <w:p>
            <w:pPr>
              <w:pStyle w:val="Compact"/>
            </w:pPr>
            <w:r>
              <w:t xml:space="preserve">Scope + label export filtered by data_class=npi</w:t>
            </w:r>
          </w:p>
        </w:tc>
        <w:tc>
          <w:tcPr/>
          <w:p>
            <w:pPr>
              <w:pStyle w:val="Compact"/>
            </w:pPr>
            <w:r>
              <w:t xml:space="preserve">Monthly</w:t>
            </w:r>
          </w:p>
        </w:tc>
      </w:tr>
      <w:tr>
        <w:tc>
          <w:tcPr/>
          <w:p>
            <w:pPr>
              <w:pStyle w:val="Compact"/>
            </w:pPr>
            <w:r>
              <w:t xml:space="preserve">Audit-trail retention</w:t>
            </w:r>
          </w:p>
        </w:tc>
        <w:tc>
          <w:tcPr/>
          <w:p>
            <w:pPr>
              <w:pStyle w:val="Compact"/>
            </w:pPr>
            <w:r>
              <w:t xml:space="preserve">Workload flow + process telemetry for the required window</w:t>
            </w:r>
          </w:p>
        </w:tc>
        <w:tc>
          <w:tcPr/>
          <w:p>
            <w:pPr>
              <w:pStyle w:val="Compact"/>
            </w:pPr>
            <w:r>
              <w:t xml:space="preserve">Retained telemetry export</w:t>
            </w:r>
          </w:p>
        </w:tc>
        <w:tc>
          <w:tcPr/>
          <w:p>
            <w:pPr>
              <w:pStyle w:val="Compact"/>
            </w:pPr>
            <w:r>
              <w:t xml:space="preserve">Continuous, validated quarterly</w:t>
            </w:r>
          </w:p>
        </w:tc>
      </w:tr>
      <w:tr>
        <w:tc>
          <w:tcPr/>
          <w:p>
            <w:pPr>
              <w:pStyle w:val="Compact"/>
            </w:pPr>
            <w:r>
              <w:t xml:space="preserve">Least-privilege evidence</w:t>
            </w:r>
          </w:p>
        </w:tc>
        <w:tc>
          <w:tcPr/>
          <w:p>
            <w:pPr>
              <w:pStyle w:val="Compact"/>
            </w:pPr>
            <w:r>
              <w:t xml:space="preserve">Workspace snapshot and policy violation log</w:t>
            </w:r>
          </w:p>
        </w:tc>
        <w:tc>
          <w:tcPr/>
          <w:p>
            <w:pPr>
              <w:pStyle w:val="Compact"/>
            </w:pPr>
            <w:r>
              <w:t xml:space="preserve">Policy workspace export and policy analysis output</w:t>
            </w:r>
          </w:p>
        </w:tc>
        <w:tc>
          <w:tcPr/>
          <w:p>
            <w:pPr>
              <w:pStyle w:val="Compact"/>
            </w:pPr>
            <w:r>
              <w:t xml:space="preserve">Quarterly + after each change</w:t>
            </w:r>
          </w:p>
        </w:tc>
      </w:tr>
      <w:tr>
        <w:tc>
          <w:tcPr/>
          <w:p>
            <w:pPr>
              <w:pStyle w:val="Compact"/>
            </w:pPr>
            <w:r>
              <w:t xml:space="preserve">Vulnerability + reachability</w:t>
            </w:r>
          </w:p>
        </w:tc>
        <w:tc>
          <w:tcPr/>
          <w:p>
            <w:pPr>
              <w:pStyle w:val="Compact"/>
            </w:pPr>
            <w:r>
              <w:t xml:space="preserve">CVE list weighted by reach into NPI-Applications and Covered-Systems</w:t>
            </w:r>
          </w:p>
        </w:tc>
        <w:tc>
          <w:tcPr/>
          <w:p>
            <w:pPr>
              <w:pStyle w:val="Compact"/>
            </w:pPr>
            <w:r>
              <w:t xml:space="preserve">Vulnerability report scoped to NYDFS-500</w:t>
            </w:r>
          </w:p>
        </w:tc>
        <w:tc>
          <w:tcPr/>
          <w:p>
            <w:pPr>
              <w:pStyle w:val="Compact"/>
            </w:pPr>
            <w:r>
              <w:t xml:space="preserve">Monthly</w:t>
            </w:r>
          </w:p>
        </w:tc>
      </w:tr>
      <w:tr>
        <w:tc>
          <w:tcPr/>
          <w:p>
            <w:pPr>
              <w:pStyle w:val="Compact"/>
            </w:pPr>
            <w:r>
              <w:t xml:space="preserve">Third-party egress reconciliation</w:t>
            </w:r>
          </w:p>
        </w:tc>
        <w:tc>
          <w:tcPr/>
          <w:p>
            <w:pPr>
              <w:pStyle w:val="Compact"/>
            </w:pPr>
            <w:r>
              <w:t xml:space="preserve">Outbound flow to vendor endpoints</w:t>
            </w:r>
          </w:p>
        </w:tc>
        <w:tc>
          <w:tcPr/>
          <w:p>
            <w:pPr>
              <w:pStyle w:val="Compact"/>
            </w:pPr>
            <w:r>
              <w:t xml:space="preserve">Flow search filtered to vendor endpoints</w:t>
            </w:r>
          </w:p>
        </w:tc>
        <w:tc>
          <w:tcPr/>
          <w:p>
            <w:pPr>
              <w:pStyle w:val="Compact"/>
            </w:pPr>
            <w:r>
              <w:t xml:space="preserve">Monthly</w:t>
            </w:r>
          </w:p>
        </w:tc>
      </w:tr>
      <w:tr>
        <w:tc>
          <w:tcPr/>
          <w:p>
            <w:pPr>
              <w:pStyle w:val="Compact"/>
            </w:pPr>
            <w:r>
              <w:t xml:space="preserve">Incident timeline sample</w:t>
            </w:r>
          </w:p>
        </w:tc>
        <w:tc>
          <w:tcPr/>
          <w:p>
            <w:pPr>
              <w:pStyle w:val="Compact"/>
            </w:pPr>
            <w:r>
              <w:t xml:space="preserve">One representative incident</w:t>
            </w:r>
          </w:p>
        </w:tc>
        <w:tc>
          <w:tcPr/>
          <w:p>
            <w:pPr>
              <w:pStyle w:val="Compact"/>
            </w:pPr>
            <w:r>
              <w:t xml:space="preserve">Flow + process search</w:t>
            </w:r>
          </w:p>
        </w:tc>
        <w:tc>
          <w:tcPr/>
          <w:p>
            <w:pPr>
              <w:pStyle w:val="Compact"/>
            </w:pPr>
            <w:r>
              <w:t xml:space="preserve">Per incident; one representative sample per audit cycle</w:t>
            </w:r>
          </w:p>
        </w:tc>
      </w:tr>
    </w:tbl>
    <w:bookmarkEnd w:id="17"/>
    <w:bookmarkStart w:id="18" w:name="pov-workshop-approach"/>
    <w:p>
      <w:pPr>
        <w:pStyle w:val="Heading2"/>
      </w:pPr>
      <w:r>
        <w:t xml:space="preserve">POV / Workshop Approach</w:t>
      </w:r>
    </w:p>
    <w:p>
      <w:pPr>
        <w:pStyle w:val="Compact"/>
        <w:numPr>
          <w:ilvl w:val="0"/>
          <w:numId w:val="1003"/>
        </w:numPr>
      </w:pPr>
      <w:r>
        <w:t xml:space="preserve">Confirm the framework version and assessment cycle with the customer’s compliance team.</w:t>
      </w:r>
    </w:p>
    <w:p>
      <w:pPr>
        <w:pStyle w:val="Compact"/>
        <w:numPr>
          <w:ilvl w:val="0"/>
          <w:numId w:val="1003"/>
        </w:numPr>
      </w:pPr>
      <w:r>
        <w:t xml:space="preserve">Select one business service, regulated boundary, or critical workload group to start with; do not attempt to instrument the entire estate in the POV.</w:t>
      </w:r>
    </w:p>
    <w:p>
      <w:pPr>
        <w:pStyle w:val="Compact"/>
        <w:numPr>
          <w:ilvl w:val="0"/>
          <w:numId w:val="1003"/>
        </w:numPr>
      </w:pPr>
      <w:r>
        <w:t xml:space="preserve">Validate workload coverage and install sensors or configure supported connectors. Document the cannot-instrument register; this is itself evidence.</w:t>
      </w:r>
    </w:p>
    <w:p>
      <w:pPr>
        <w:pStyle w:val="Compact"/>
        <w:numPr>
          <w:ilvl w:val="0"/>
          <w:numId w:val="1003"/>
        </w:numPr>
      </w:pPr>
      <w:r>
        <w:t xml:space="preserve">Apply labels for application, environment, owner, data class, criticality, compliance scope, and any framework-specific tags (e.g. </w:t>
      </w:r>
      <w:r>
        <w:rPr>
          <w:rStyle w:val="VerbatimChar"/>
        </w:rPr>
        <w:t xml:space="preserve">tenant</w:t>
      </w:r>
      <w:r>
        <w:t xml:space="preserve">,</w:t>
      </w:r>
      <w:r>
        <w:t xml:space="preserve"> </w:t>
      </w:r>
      <w:r>
        <w:rPr>
          <w:rStyle w:val="VerbatimChar"/>
        </w:rPr>
        <w:t xml:space="preserve">prototype</w:t>
      </w:r>
      <w:r>
        <w:t xml:space="preserve">,</w:t>
      </w:r>
      <w:r>
        <w:t xml:space="preserve"> </w:t>
      </w:r>
      <w:r>
        <w:rPr>
          <w:rStyle w:val="VerbatimChar"/>
        </w:rPr>
        <w:t xml:space="preserve">isa_level</w:t>
      </w:r>
      <w:r>
        <w:t xml:space="preserve">,</w:t>
      </w:r>
      <w:r>
        <w:t xml:space="preserve"> </w:t>
      </w:r>
      <w:r>
        <w:rPr>
          <w:rStyle w:val="VerbatimChar"/>
        </w:rPr>
        <w:t xml:space="preserve">npi</w:t>
      </w:r>
      <w:r>
        <w:t xml:space="preserve">,</w:t>
      </w:r>
      <w:r>
        <w:t xml:space="preserve"> </w:t>
      </w:r>
      <w:r>
        <w:rPr>
          <w:rStyle w:val="VerbatimChar"/>
        </w:rPr>
        <w:t xml:space="preserve">cui</w:t>
      </w:r>
      <w:r>
        <w:t xml:space="preserve">,</w:t>
      </w:r>
      <w:r>
        <w:t xml:space="preserve"> </w:t>
      </w:r>
      <w:r>
        <w:rPr>
          <w:rStyle w:val="VerbatimChar"/>
        </w:rPr>
        <w:t xml:space="preserve">ephi</w:t>
      </w:r>
      <w:r>
        <w:t xml:space="preserve">).</w:t>
      </w:r>
    </w:p>
    <w:p>
      <w:pPr>
        <w:pStyle w:val="Compact"/>
        <w:numPr>
          <w:ilvl w:val="0"/>
          <w:numId w:val="1003"/>
        </w:numPr>
      </w:pPr>
      <w:r>
        <w:t xml:space="preserve">Observe flows over a representative business window. Minimum two weeks; longer if the customer has month-end, quarterly, or seasonal cycles relevant to the scope.</w:t>
      </w:r>
    </w:p>
    <w:p>
      <w:pPr>
        <w:pStyle w:val="Compact"/>
        <w:numPr>
          <w:ilvl w:val="0"/>
          <w:numId w:val="1003"/>
        </w:numPr>
      </w:pPr>
      <w:r>
        <w:t xml:space="preserve">Use ADM to generate a candidate policy. Review with the application owner. Run in Simulation mode for at least two weeks before any enforcement.</w:t>
      </w:r>
    </w:p>
    <w:p>
      <w:pPr>
        <w:pStyle w:val="Compact"/>
        <w:numPr>
          <w:ilvl w:val="0"/>
          <w:numId w:val="1003"/>
        </w:numPr>
      </w:pPr>
      <w:r>
        <w:t xml:space="preserve">Package inventory, scope, flows, policy, exceptions, and known gaps as the evidence output. Cross-reference this report’s evidence collection table with the customer’s existing audit work-papers.</w:t>
      </w:r>
    </w:p>
    <w:bookmarkEnd w:id="18"/>
    <w:bookmarkStart w:id="19" w:name="boundaries-and-complementary-controls"/>
    <w:p>
      <w:pPr>
        <w:pStyle w:val="Heading2"/>
      </w:pPr>
      <w:r>
        <w:t xml:space="preserve">Boundaries and Complementary Controls</w:t>
      </w:r>
    </w:p>
    <w:p>
      <w:pPr>
        <w:pStyle w:val="FirstParagraph"/>
      </w:pPr>
      <w:r>
        <w:t xml:space="preserve">CSW does not replace the CISO function, written policies, MFA / IAM enforcement, encryption programmes, the risk assessment itself, the 72-hour notification decision under Section 500.17(a), or the senior officer / board-of-directors annual notice of compliance under Section 500.17(b).</w:t>
      </w:r>
    </w:p>
    <w:bookmarkEnd w:id="19"/>
    <w:bookmarkStart w:id="20" w:name="assessor-auditor-caveat"/>
    <w:p>
      <w:pPr>
        <w:pStyle w:val="Heading2"/>
      </w:pPr>
      <w:r>
        <w:t xml:space="preserve">Assessor / Auditor Caveat</w:t>
      </w:r>
    </w:p>
    <w:p>
      <w:pPr>
        <w:pStyle w:val="FirstParagraph"/>
      </w:pPr>
      <w:r>
        <w:t xml:space="preserve">CSW provides technical evidence inputs. The customer’s qualified assessor, auditor, certifying body, or regulator determines compliance status. Validate all framework-topic mappings, control IDs, paragraph references, and section numbers in this report against the current official framework text. If the customer is being assessed against a version other than the one referenced in the framework version note above, revalidate before use.</w:t>
      </w:r>
    </w:p>
    <w:bookmarkEnd w:id="20"/>
    <w:bookmarkStart w:id="21" w:name="disclaimer"/>
    <w:p>
      <w:pPr>
        <w:pStyle w:val="Heading2"/>
      </w:pPr>
      <w:r>
        <w:t xml:space="preserve">Disclaimer</w:t>
      </w:r>
    </w:p>
    <w:p>
      <w:pPr>
        <w:pStyle w:val="FirstParagraph"/>
      </w:pPr>
      <w:r>
        <w:t xml:space="preserve">This report is for informational and planning purposes. It is not legal, regulatory, audit, or certification advice. Validate all mappings against the current official framework text, the customer’s environment, and qualified compliance, legal, and audit professionals.</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 Secure Workload - NY DFS Part 500 Compliance Report</dc:title>
  <dc:creator/>
  <cp:keywords/>
  <dcterms:created xsi:type="dcterms:W3CDTF">2026-05-13T18:07:55Z</dcterms:created>
  <dcterms:modified xsi:type="dcterms:W3CDTF">2026-05-13T18:07:55Z</dcterms:modified>
</cp:coreProperties>
</file>

<file path=docProps/custom.xml><?xml version="1.0" encoding="utf-8"?>
<Properties xmlns="http://schemas.openxmlformats.org/officeDocument/2006/custom-properties" xmlns:vt="http://schemas.openxmlformats.org/officeDocument/2006/docPropsVTypes"/>
</file>