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0" w:after="200"/>
        <w:jc w:val="center"/>
        <w:rPr/>
      </w:pPr>
      <w:r>
        <w:rPr>
          <w:rFonts w:eastAsia="Arial" w:cs="Arial"/>
          <w:b/>
          <w:bCs/>
          <w:color w:val="003366"/>
          <w:sz w:val="52"/>
          <w:szCs w:val="52"/>
        </w:rPr>
        <w:t>CISCO SECURE WORKLOAD</w:t>
      </w:r>
    </w:p>
    <w:p>
      <w:pPr>
        <w:pStyle w:val="Normal"/>
        <w:spacing w:before="0" w:after="200"/>
        <w:jc w:val="center"/>
        <w:rPr/>
      </w:pPr>
      <w:r>
        <w:rPr>
          <w:rFonts w:eastAsia="Arial" w:cs="Arial"/>
          <w:b/>
          <w:bCs/>
          <w:color w:val="0070C0"/>
          <w:sz w:val="40"/>
          <w:szCs w:val="40"/>
        </w:rPr>
        <w:t>SOC 2 Compliance Framework</w:t>
      </w:r>
    </w:p>
    <w:p>
      <w:pPr>
        <w:pStyle w:val="Normal"/>
        <w:pBdr>
          <w:bottom w:val="single" w:sz="12" w:space="4" w:color="0070C0"/>
        </w:pBdr>
        <w:spacing w:before="0" w:after="400"/>
        <w:jc w:val="center"/>
        <w:rPr/>
      </w:pPr>
      <w:r>
        <w:rPr>
          <w:rFonts w:eastAsia="Arial" w:cs="Arial"/>
          <w:color w:val="555555"/>
          <w:sz w:val="28"/>
          <w:szCs w:val="28"/>
        </w:rPr>
        <w:t>Trust Services Criteria — Type II</w:t>
      </w:r>
    </w:p>
    <w:p>
      <w:pPr>
        <w:pStyle w:val="Normal"/>
        <w:spacing w:before="400" w:after="160"/>
        <w:jc w:val="center"/>
        <w:rPr/>
      </w:pPr>
      <w:r>
        <w:rPr>
          <w:rFonts w:eastAsia="Arial" w:cs="Arial"/>
          <w:color w:val="444444"/>
          <w:sz w:val="28"/>
          <w:szCs w:val="28"/>
        </w:rPr>
        <w:t>Prepared for:  [Customer Name]</w:t>
      </w:r>
    </w:p>
    <w:p>
      <w:pPr>
        <w:pStyle w:val="Normal"/>
        <w:spacing w:before="0" w:after="160"/>
        <w:jc w:val="center"/>
        <w:rPr/>
      </w:pPr>
      <w:r>
        <w:rPr>
          <w:rFonts w:eastAsia="Arial" w:cs="Arial"/>
          <w:color w:val="666666"/>
          <w:sz w:val="24"/>
          <w:szCs w:val="24"/>
        </w:rPr>
        <w:t>Prepared by:  Cisco Systems, Inc.</w:t>
      </w:r>
    </w:p>
    <w:p>
      <w:pPr>
        <w:pStyle w:val="Normal"/>
        <w:spacing w:before="0" w:after="400"/>
        <w:jc w:val="center"/>
        <w:rPr/>
      </w:pPr>
      <w:r>
        <w:rPr>
          <w:rFonts w:eastAsia="Arial" w:cs="Arial"/>
          <w:color w:val="888888"/>
          <w:sz w:val="22"/>
          <w:szCs w:val="22"/>
        </w:rPr>
        <w:t>Date:  [Month Year]  |  Version 1.0  |  Cisco Confidential</w:t>
      </w:r>
    </w:p>
    <w:tbl>
      <w:tblPr>
        <w:tblW w:w="6000" w:type="dxa"/>
        <w:jc w:val="start"/>
        <w:tblInd w:w="0" w:type="dxa"/>
        <w:tblLayout w:type="fixed"/>
        <w:tblCellMar>
          <w:top w:w="160" w:type="dxa"/>
          <w:start w:w="240" w:type="dxa"/>
          <w:bottom w:w="160" w:type="dxa"/>
          <w:end w:w="240" w:type="dxa"/>
        </w:tblCellMar>
      </w:tblPr>
      <w:tblGrid>
        <w:gridCol w:w="6000"/>
      </w:tblGrid>
      <w:tr>
        <w:trPr/>
        <w:tc>
          <w:tcPr>
            <w:tcW w:w="6000" w:type="dxa"/>
            <w:tcBorders>
              <w:top w:val="single" w:sz="2" w:space="0" w:color="0070C0"/>
              <w:start w:val="single" w:sz="2" w:space="0" w:color="0070C0"/>
              <w:bottom w:val="single" w:sz="2" w:space="0" w:color="0070C0"/>
              <w:end w:val="single" w:sz="2" w:space="0" w:color="0070C0"/>
            </w:tcBorders>
            <w:shd w:fill="E8F4FC" w:val="clear"/>
          </w:tcPr>
          <w:p>
            <w:pPr>
              <w:pStyle w:val="Normal"/>
              <w:jc w:val="center"/>
              <w:rPr/>
            </w:pPr>
            <w:r>
              <w:rPr>
                <w:rFonts w:eastAsia="Arial" w:cs="Arial"/>
                <w:b/>
                <w:bCs/>
                <w:color w:val="003366"/>
                <w:sz w:val="22"/>
                <w:szCs w:val="22"/>
              </w:rPr>
              <w:t>Regulatory Standard: SOC 2 Type II (AICPA Trust Services Criteria)</w:t>
            </w:r>
          </w:p>
          <w:p>
            <w:pPr>
              <w:pStyle w:val="Normal"/>
              <w:jc w:val="center"/>
              <w:rPr/>
            </w:pPr>
            <w:r>
              <w:rPr>
                <w:rFonts w:eastAsia="Arial" w:cs="Arial"/>
                <w:color w:val="555555"/>
                <w:sz w:val="20"/>
                <w:szCs w:val="20"/>
              </w:rPr>
              <w:t>Environment: Hybrid (On-Premises + Cloud)</w:t>
            </w:r>
          </w:p>
          <w:p>
            <w:pPr>
              <w:pStyle w:val="Normal"/>
              <w:jc w:val="center"/>
              <w:rPr/>
            </w:pPr>
            <w:r>
              <w:rPr>
                <w:rFonts w:eastAsia="Arial" w:cs="Arial"/>
                <w:color w:val="555555"/>
                <w:sz w:val="20"/>
                <w:szCs w:val="20"/>
              </w:rPr>
              <w:t>Deployment Stage: Fresh Installation</w:t>
            </w:r>
          </w:p>
        </w:tc>
      </w:tr>
    </w:tbl>
    <w:p>
      <w:pPr>
        <w:pStyle w:val="Normal"/>
        <w:rPr/>
      </w:pPr>
      <w:r>
        <w:rPr/>
      </w:r>
      <w:r>
        <w:br w:type="page"/>
      </w:r>
    </w:p>
    <w:p>
      <w:pPr>
        <w:pStyle w:val="Heading2"/>
      </w:pPr>
      <w:r>
        <w:t>How to read the coverage words</w:t>
      </w:r>
    </w:p>
    <w:p>
      <w:pPr>
        <w:pStyle w:val="Normal"/>
      </w:pPr>
      <w:r>
        <w:rPr>
          <w:b/>
        </w:rPr>
        <w:t>Full Coverage</w:t>
      </w:r>
      <w:r>
        <w:t xml:space="preserve"> on the older reports means Secure Workload can produce that row's artifact. It does not mean the control is met.</w:t>
      </w:r>
    </w:p>
    <w:p>
      <w:pPr>
        <w:pStyle w:val="Normal"/>
      </w:pPr>
      <w:r>
        <w:rPr>
          <w:b/>
        </w:rPr>
        <w:t>Partial Coverage</w:t>
      </w:r>
      <w:r>
        <w:t xml:space="preserve"> means file that export next to another control.</w:t>
      </w:r>
    </w:p>
    <w:p>
      <w:pPr>
        <w:pStyle w:val="Normal"/>
      </w:pPr>
      <w:r>
        <w:rPr>
          <w:b/>
        </w:rPr>
        <w:t>Evidence Required</w:t>
      </w:r>
      <w:r>
        <w:t xml:space="preserve"> means Secure Workload has no record. The customer files the contract, the analysis, or the HR or physical-security evidence.</w:t>
      </w:r>
    </w:p>
    <w:p>
      <w:pPr>
        <w:pStyle w:val="Normal"/>
      </w:pPr>
      <w:r>
        <w:rPr>
          <w:b/>
        </w:rPr>
        <w:t>Direct, Supporting, and Out of scope</w:t>
      </w:r>
      <w:r>
        <w:t xml:space="preserve"> on the newer reports are the same idea in different words. Direct is still evidence, not a pass.</w:t>
      </w:r>
    </w:p>
    <w:p>
      <w:pPr>
        <w:pStyle w:val="Heading1"/>
        <w:pBdr>
          <w:bottom w:val="single" w:sz="8" w:space="4" w:color="0070C0"/>
        </w:pBdr>
        <w:spacing w:before="0" w:after="200"/>
        <w:rPr/>
      </w:pPr>
      <w:r>
        <w:rPr>
          <w:rFonts w:eastAsia="Arial" w:cs="Arial" w:ascii="Arial" w:hAnsi="Arial"/>
          <w:b/>
          <w:bCs/>
          <w:color w:val="003366"/>
          <w:sz w:val="36"/>
          <w:szCs w:val="36"/>
        </w:rPr>
        <w:t>Executive Summary</w:t>
      </w:r>
    </w:p>
    <w:p>
      <w:pPr>
        <w:pStyle w:val="Normal"/>
        <w:spacing w:before="80" w:after="80"/>
        <w:rPr/>
      </w:pPr>
      <w:r>
        <w:rPr>
          <w:rFonts w:eastAsia="Arial" w:cs="Arial"/>
          <w:b w:val="false"/>
          <w:bCs w:val="false"/>
          <w:i w:val="false"/>
          <w:iCs w:val="false"/>
          <w:color w:val="000000"/>
          <w:sz w:val="22"/>
          <w:szCs w:val="22"/>
        </w:rPr>
        <w:t>SOC 2 Type II audits evaluate whether security controls operated effectively over a defined audit period (typically 6–12 months). Cisco Secure Workload (CSW) directly satisfies the Security Trust Services Criteria and contributes to Availability, Confidentiality, and Processing Integrity criteria through continuous workload visibility, micro-segmentation, vulnerability detection, and forensic telemetry.</w:t>
      </w:r>
    </w:p>
    <w:p>
      <w:pPr>
        <w:pStyle w:val="Normal"/>
        <w:spacing w:before="100" w:after="0"/>
        <w:rPr/>
      </w:pPr>
      <w:r>
        <w:rPr/>
      </w:r>
    </w:p>
    <w:p>
      <w:pPr>
        <w:pStyle w:val="Heading2"/>
        <w:spacing w:before="300" w:after="160"/>
        <w:rPr/>
      </w:pPr>
      <w:r>
        <w:rPr>
          <w:rFonts w:eastAsia="Arial" w:cs="Arial" w:ascii="Arial" w:hAnsi="Arial"/>
          <w:b/>
          <w:bCs/>
          <w:color w:val="0070C0"/>
          <w:sz w:val="28"/>
          <w:szCs w:val="28"/>
        </w:rPr>
        <w:t>Coverage Summary</w:t>
      </w:r>
    </w:p>
    <w:tbl>
      <w:tblPr>
        <w:tblW w:w="9360" w:type="dxa"/>
        <w:jc w:val="start"/>
        <w:tblInd w:w="0" w:type="dxa"/>
        <w:tblLayout w:type="fixed"/>
        <w:tblCellMar>
          <w:top w:w="80" w:type="dxa"/>
          <w:start w:w="120" w:type="dxa"/>
          <w:bottom w:w="80" w:type="dxa"/>
          <w:end w:w="120" w:type="dxa"/>
        </w:tblCellMar>
      </w:tblPr>
      <w:tblGrid>
        <w:gridCol w:w="1599"/>
        <w:gridCol w:w="700"/>
        <w:gridCol w:w="1601"/>
        <w:gridCol w:w="1900"/>
        <w:gridCol w:w="2059"/>
        <w:gridCol w:w="1501"/>
      </w:tblGrid>
      <w:tr>
        <w:trPr/>
        <w:tc>
          <w:tcPr>
            <w:tcW w:w="1599"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Criteria Category</w:t>
            </w:r>
          </w:p>
        </w:tc>
        <w:tc>
          <w:tcPr>
            <w:tcW w:w="700"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Ref</w:t>
            </w:r>
          </w:p>
        </w:tc>
        <w:tc>
          <w:tcPr>
            <w:tcW w:w="1601"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Control</w:t>
            </w:r>
          </w:p>
        </w:tc>
        <w:tc>
          <w:tcPr>
            <w:tcW w:w="1900"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Requirement</w:t>
            </w:r>
          </w:p>
        </w:tc>
        <w:tc>
          <w:tcPr>
            <w:tcW w:w="2059"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CSW Implementation</w:t>
            </w:r>
          </w:p>
        </w:tc>
        <w:tc>
          <w:tcPr>
            <w:tcW w:w="1501"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Coverage</w:t>
            </w:r>
          </w:p>
        </w:tc>
      </w:tr>
      <w:tr>
        <w:trPr/>
        <w:tc>
          <w:tcPr>
            <w:tcW w:w="15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bCs/>
                <w:i w:val="false"/>
                <w:iCs w:val="false"/>
                <w:color w:val="000000"/>
                <w:sz w:val="20"/>
                <w:szCs w:val="20"/>
              </w:rPr>
              <w:t>Security (CC6)</w:t>
            </w:r>
          </w:p>
        </w:tc>
        <w:tc>
          <w:tcPr>
            <w:tcW w:w="70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CC6.1</w:t>
            </w:r>
          </w:p>
        </w:tc>
        <w:tc>
          <w:tcPr>
            <w:tcW w:w="160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Logical Access Controls</w:t>
            </w:r>
          </w:p>
        </w:tc>
        <w:tc>
          <w:tcPr>
            <w:tcW w:w="190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Restrict logical access to systems</w:t>
            </w:r>
          </w:p>
        </w:tc>
        <w:tc>
          <w:tcPr>
            <w:tcW w:w="205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Workload-level allowlist policies; default-deny inbound; process-level access logging</w:t>
            </w:r>
          </w:p>
        </w:tc>
        <w:tc>
          <w:tcPr>
            <w:tcW w:w="1501"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Full Coverage</w:t>
            </w:r>
          </w:p>
        </w:tc>
      </w:tr>
      <w:tr>
        <w:trPr/>
        <w:tc>
          <w:tcPr>
            <w:tcW w:w="15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bCs/>
                <w:i w:val="false"/>
                <w:iCs w:val="false"/>
                <w:color w:val="000000"/>
                <w:sz w:val="20"/>
                <w:szCs w:val="20"/>
              </w:rPr>
              <w:t>Security (CC6)</w:t>
            </w:r>
          </w:p>
        </w:tc>
        <w:tc>
          <w:tcPr>
            <w:tcW w:w="70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CC6.6</w:t>
            </w:r>
          </w:p>
        </w:tc>
        <w:tc>
          <w:tcPr>
            <w:tcW w:w="160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Network &amp; Infrastructure</w:t>
            </w:r>
          </w:p>
        </w:tc>
        <w:tc>
          <w:tcPr>
            <w:tcW w:w="190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Network controls restrict unauthorized access</w:t>
            </w:r>
          </w:p>
        </w:tc>
        <w:tc>
          <w:tcPr>
            <w:tcW w:w="205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ADM maps all communication paths; micro-segmentation enforces least-privilege</w:t>
            </w:r>
          </w:p>
        </w:tc>
        <w:tc>
          <w:tcPr>
            <w:tcW w:w="1501"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Full Coverage</w:t>
            </w:r>
          </w:p>
        </w:tc>
      </w:tr>
      <w:tr>
        <w:trPr/>
        <w:tc>
          <w:tcPr>
            <w:tcW w:w="15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bCs/>
                <w:i w:val="false"/>
                <w:iCs w:val="false"/>
                <w:color w:val="000000"/>
                <w:sz w:val="20"/>
                <w:szCs w:val="20"/>
              </w:rPr>
              <w:t>Security (CC6)</w:t>
            </w:r>
          </w:p>
        </w:tc>
        <w:tc>
          <w:tcPr>
            <w:tcW w:w="70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CC6.7</w:t>
            </w:r>
          </w:p>
        </w:tc>
        <w:tc>
          <w:tcPr>
            <w:tcW w:w="160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Transmission Controls</w:t>
            </w:r>
          </w:p>
        </w:tc>
        <w:tc>
          <w:tcPr>
            <w:tcW w:w="190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Protect confidential data in transit</w:t>
            </w:r>
          </w:p>
        </w:tc>
        <w:tc>
          <w:tcPr>
            <w:tcW w:w="205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Detect/block HTTP, FTP, plain LDAP; enforce HTTPS/SFTP/LDAPS across all scopes</w:t>
            </w:r>
          </w:p>
        </w:tc>
        <w:tc>
          <w:tcPr>
            <w:tcW w:w="1501"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Full Coverage</w:t>
            </w:r>
          </w:p>
        </w:tc>
      </w:tr>
      <w:tr>
        <w:trPr/>
        <w:tc>
          <w:tcPr>
            <w:tcW w:w="15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bCs/>
                <w:i w:val="false"/>
                <w:iCs w:val="false"/>
                <w:color w:val="000000"/>
                <w:sz w:val="20"/>
                <w:szCs w:val="20"/>
              </w:rPr>
              <w:t>Security (CC7)</w:t>
            </w:r>
          </w:p>
        </w:tc>
        <w:tc>
          <w:tcPr>
            <w:tcW w:w="70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CC7.1</w:t>
            </w:r>
          </w:p>
        </w:tc>
        <w:tc>
          <w:tcPr>
            <w:tcW w:w="160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Vulnerability Detection</w:t>
            </w:r>
          </w:p>
        </w:tc>
        <w:tc>
          <w:tcPr>
            <w:tcW w:w="190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Identify and address vulnerabilities</w:t>
            </w:r>
          </w:p>
        </w:tc>
        <w:tc>
          <w:tcPr>
            <w:tcW w:w="205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Continuous CVE scanning with CVSS scoring on all in-scope workloads</w:t>
            </w:r>
          </w:p>
        </w:tc>
        <w:tc>
          <w:tcPr>
            <w:tcW w:w="1501"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Full Coverage</w:t>
            </w:r>
          </w:p>
        </w:tc>
      </w:tr>
      <w:tr>
        <w:trPr/>
        <w:tc>
          <w:tcPr>
            <w:tcW w:w="15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bCs/>
                <w:i w:val="false"/>
                <w:iCs w:val="false"/>
                <w:color w:val="000000"/>
                <w:sz w:val="20"/>
                <w:szCs w:val="20"/>
              </w:rPr>
              <w:t>Security (CC7)</w:t>
            </w:r>
          </w:p>
        </w:tc>
        <w:tc>
          <w:tcPr>
            <w:tcW w:w="70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CC7.2</w:t>
            </w:r>
          </w:p>
        </w:tc>
        <w:tc>
          <w:tcPr>
            <w:tcW w:w="160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System Monitoring</w:t>
            </w:r>
          </w:p>
        </w:tc>
        <w:tc>
          <w:tcPr>
            <w:tcW w:w="190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Monitor system components for anomalies</w:t>
            </w:r>
          </w:p>
        </w:tc>
        <w:tc>
          <w:tcPr>
            <w:tcW w:w="205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Real-time flow + process telemetry; anomaly detection; sensor health monitoring</w:t>
            </w:r>
          </w:p>
        </w:tc>
        <w:tc>
          <w:tcPr>
            <w:tcW w:w="1501"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Full Coverage</w:t>
            </w:r>
          </w:p>
        </w:tc>
      </w:tr>
      <w:tr>
        <w:trPr/>
        <w:tc>
          <w:tcPr>
            <w:tcW w:w="15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bCs/>
                <w:i w:val="false"/>
                <w:iCs w:val="false"/>
                <w:color w:val="000000"/>
                <w:sz w:val="20"/>
                <w:szCs w:val="20"/>
              </w:rPr>
              <w:t>Security (CC7)</w:t>
            </w:r>
          </w:p>
        </w:tc>
        <w:tc>
          <w:tcPr>
            <w:tcW w:w="70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CC7.3</w:t>
            </w:r>
          </w:p>
        </w:tc>
        <w:tc>
          <w:tcPr>
            <w:tcW w:w="160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Security Event Evaluation</w:t>
            </w:r>
          </w:p>
        </w:tc>
        <w:tc>
          <w:tcPr>
            <w:tcW w:w="190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Evaluate and respond to security events</w:t>
            </w:r>
          </w:p>
        </w:tc>
        <w:tc>
          <w:tcPr>
            <w:tcW w:w="205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Forensic telemetry enables full incident reconstruction; alert export to SIEM</w:t>
            </w:r>
          </w:p>
        </w:tc>
        <w:tc>
          <w:tcPr>
            <w:tcW w:w="1501"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Full Coverage</w:t>
            </w:r>
          </w:p>
        </w:tc>
      </w:tr>
      <w:tr>
        <w:trPr/>
        <w:tc>
          <w:tcPr>
            <w:tcW w:w="15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bCs/>
                <w:i w:val="false"/>
                <w:iCs w:val="false"/>
                <w:color w:val="000000"/>
                <w:sz w:val="20"/>
                <w:szCs w:val="20"/>
              </w:rPr>
              <w:t>Security (CC8)</w:t>
            </w:r>
          </w:p>
        </w:tc>
        <w:tc>
          <w:tcPr>
            <w:tcW w:w="70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CC8.1</w:t>
            </w:r>
          </w:p>
        </w:tc>
        <w:tc>
          <w:tcPr>
            <w:tcW w:w="160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Change Management</w:t>
            </w:r>
          </w:p>
        </w:tc>
        <w:tc>
          <w:tcPr>
            <w:tcW w:w="190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Control changes to infrastructure and systems</w:t>
            </w:r>
          </w:p>
        </w:tc>
        <w:tc>
          <w:tcPr>
            <w:tcW w:w="205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Policy workspace versioning; ADM baseline comparison detects drift</w:t>
            </w:r>
          </w:p>
        </w:tc>
        <w:tc>
          <w:tcPr>
            <w:tcW w:w="1501"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Full Coverage</w:t>
            </w:r>
          </w:p>
        </w:tc>
      </w:tr>
      <w:tr>
        <w:trPr/>
        <w:tc>
          <w:tcPr>
            <w:tcW w:w="15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bCs/>
                <w:i w:val="false"/>
                <w:iCs w:val="false"/>
                <w:color w:val="000000"/>
                <w:sz w:val="20"/>
                <w:szCs w:val="20"/>
              </w:rPr>
              <w:t>Security (CC9)</w:t>
            </w:r>
          </w:p>
        </w:tc>
        <w:tc>
          <w:tcPr>
            <w:tcW w:w="70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CC9.1</w:t>
            </w:r>
          </w:p>
        </w:tc>
        <w:tc>
          <w:tcPr>
            <w:tcW w:w="160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Risk Mitigation</w:t>
            </w:r>
          </w:p>
        </w:tc>
        <w:tc>
          <w:tcPr>
            <w:tcW w:w="190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Identify and mitigate risks</w:t>
            </w:r>
          </w:p>
        </w:tc>
        <w:tc>
          <w:tcPr>
            <w:tcW w:w="205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Vulnerability data + ADM attack surface feeds risk register; compensating controls</w:t>
            </w:r>
          </w:p>
        </w:tc>
        <w:tc>
          <w:tcPr>
            <w:tcW w:w="1501"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Full Coverage</w:t>
            </w:r>
          </w:p>
        </w:tc>
      </w:tr>
      <w:tr>
        <w:trPr/>
        <w:tc>
          <w:tcPr>
            <w:tcW w:w="15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bCs/>
                <w:i w:val="false"/>
                <w:iCs w:val="false"/>
                <w:color w:val="000000"/>
                <w:sz w:val="20"/>
                <w:szCs w:val="20"/>
              </w:rPr>
              <w:t>Availability (A1)</w:t>
            </w:r>
          </w:p>
        </w:tc>
        <w:tc>
          <w:tcPr>
            <w:tcW w:w="70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A1.1</w:t>
            </w:r>
          </w:p>
        </w:tc>
        <w:tc>
          <w:tcPr>
            <w:tcW w:w="1601"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Availability Monitoring</w:t>
            </w:r>
          </w:p>
        </w:tc>
        <w:tc>
          <w:tcPr>
            <w:tcW w:w="190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Monitor system availability</w:t>
            </w:r>
          </w:p>
        </w:tc>
        <w:tc>
          <w:tcPr>
            <w:tcW w:w="205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Sensor health monitoring; workload telemetry continuity; offline agent alerts</w:t>
            </w:r>
          </w:p>
        </w:tc>
        <w:tc>
          <w:tcPr>
            <w:tcW w:w="1501"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Full Coverage</w:t>
            </w:r>
          </w:p>
        </w:tc>
      </w:tr>
      <w:tr>
        <w:trPr/>
        <w:tc>
          <w:tcPr>
            <w:tcW w:w="15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bCs/>
                <w:i w:val="false"/>
                <w:iCs w:val="false"/>
                <w:color w:val="000000"/>
                <w:sz w:val="20"/>
                <w:szCs w:val="20"/>
              </w:rPr>
              <w:t>Confidentiality (C1)</w:t>
            </w:r>
          </w:p>
        </w:tc>
        <w:tc>
          <w:tcPr>
            <w:tcW w:w="70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C1.1</w:t>
            </w:r>
          </w:p>
        </w:tc>
        <w:tc>
          <w:tcPr>
            <w:tcW w:w="1601"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Confidential Info Protection</w:t>
            </w:r>
          </w:p>
        </w:tc>
        <w:tc>
          <w:tcPr>
            <w:tcW w:w="190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Protect confidential information</w:t>
            </w:r>
          </w:p>
        </w:tc>
        <w:tc>
          <w:tcPr>
            <w:tcW w:w="205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Confidential data scope isolation; encryption enforcement; access audit logging</w:t>
            </w:r>
          </w:p>
        </w:tc>
        <w:tc>
          <w:tcPr>
            <w:tcW w:w="1501" w:type="dxa"/>
            <w:tcBorders>
              <w:top w:val="single" w:sz="2" w:space="0" w:color="D9D9D9"/>
              <w:start w:val="single" w:sz="2" w:space="0" w:color="D9D9D9"/>
              <w:bottom w:val="single" w:sz="2" w:space="0" w:color="D9D9D9"/>
              <w:end w:val="single" w:sz="2" w:space="0" w:color="D9D9D9"/>
            </w:tcBorders>
            <w:shd w:fill="107C41" w:val="clear"/>
            <w:vAlign w:val="center"/>
          </w:tcPr>
          <w:p>
            <w:pPr>
              <w:pStyle w:val="Normal"/>
              <w:jc w:val="center"/>
              <w:rPr/>
            </w:pPr>
            <w:r>
              <w:rPr>
                <w:rFonts w:eastAsia="Arial" w:cs="Arial"/>
                <w:b/>
                <w:bCs/>
                <w:i w:val="false"/>
                <w:iCs w:val="false"/>
                <w:color w:val="FFFFFF"/>
                <w:sz w:val="18"/>
                <w:szCs w:val="18"/>
              </w:rPr>
              <w:t>Full Coverage</w:t>
            </w:r>
          </w:p>
        </w:tc>
      </w:tr>
    </w:tbl>
    <w:p>
      <w:pPr>
        <w:pStyle w:val="Normal"/>
        <w:rPr/>
      </w:pPr>
      <w:r>
        <w:rPr/>
      </w:r>
      <w:r>
        <w:br w:type="page"/>
      </w:r>
    </w:p>
    <w:p>
      <w:pPr>
        <w:pStyle w:val="Heading1"/>
        <w:pBdr>
          <w:bottom w:val="single" w:sz="8" w:space="4" w:color="0070C0"/>
        </w:pBdr>
        <w:spacing w:before="0" w:after="200"/>
        <w:rPr/>
      </w:pPr>
      <w:r>
        <w:rPr>
          <w:rFonts w:eastAsia="Arial" w:cs="Arial" w:ascii="Arial" w:hAnsi="Arial"/>
          <w:b/>
          <w:bCs/>
          <w:color w:val="003366"/>
          <w:sz w:val="36"/>
          <w:szCs w:val="36"/>
        </w:rPr>
        <w:t>Key CSW Capabilities for SOC 2</w:t>
      </w:r>
    </w:p>
    <w:p>
      <w:pPr>
        <w:pStyle w:val="Heading2"/>
        <w:spacing w:before="300" w:after="160"/>
        <w:rPr/>
      </w:pPr>
      <w:r>
        <w:rPr>
          <w:rFonts w:eastAsia="Arial" w:cs="Arial" w:ascii="Arial" w:hAnsi="Arial"/>
          <w:b/>
          <w:bCs/>
          <w:color w:val="0070C0"/>
          <w:sz w:val="28"/>
          <w:szCs w:val="28"/>
        </w:rPr>
        <w:t>CC6 — Logical &amp; Physical Access Controls</w:t>
      </w:r>
    </w:p>
    <w:p>
      <w:pPr>
        <w:pStyle w:val="Normal"/>
        <w:spacing w:before="80" w:after="80"/>
        <w:rPr/>
      </w:pPr>
      <w:r>
        <w:rPr>
          <w:rFonts w:eastAsia="Arial" w:cs="Arial"/>
          <w:b w:val="false"/>
          <w:bCs w:val="false"/>
          <w:i w:val="false"/>
          <w:iCs w:val="false"/>
          <w:color w:val="000000"/>
          <w:sz w:val="22"/>
          <w:szCs w:val="22"/>
        </w:rPr>
        <w:t>CSW enforces workload-level allowlist policies that satisfy CC6.1 and CC6.6. Every inbound connection to in-scope systems requires explicit policy approval. ADM generates a complete, auditable map of all communication paths, eliminating undocumented access routes that commonly fail SOC 2 audits.</w:t>
      </w:r>
    </w:p>
    <w:p>
      <w:pPr>
        <w:pStyle w:val="Normal"/>
        <w:spacing w:before="100" w:after="0"/>
        <w:rPr/>
      </w:pPr>
      <w:r>
        <w:rPr/>
      </w:r>
    </w:p>
    <w:p>
      <w:pPr>
        <w:pStyle w:val="Heading2"/>
        <w:spacing w:before="300" w:after="160"/>
        <w:rPr/>
      </w:pPr>
      <w:r>
        <w:rPr>
          <w:rFonts w:eastAsia="Arial" w:cs="Arial" w:ascii="Arial" w:hAnsi="Arial"/>
          <w:b/>
          <w:bCs/>
          <w:color w:val="0070C0"/>
          <w:sz w:val="28"/>
          <w:szCs w:val="28"/>
        </w:rPr>
        <w:t>CC7 — System Operations</w:t>
      </w:r>
    </w:p>
    <w:p>
      <w:pPr>
        <w:pStyle w:val="Normal"/>
        <w:spacing w:before="80" w:after="80"/>
        <w:rPr/>
      </w:pPr>
      <w:r>
        <w:rPr>
          <w:rFonts w:eastAsia="Arial" w:cs="Arial"/>
          <w:b w:val="false"/>
          <w:bCs w:val="false"/>
          <w:i w:val="false"/>
          <w:iCs w:val="false"/>
          <w:color w:val="000000"/>
          <w:sz w:val="22"/>
          <w:szCs w:val="22"/>
        </w:rPr>
        <w:t>Continuous CVE scanning with CVSS scoring satisfies CC7.1 vulnerability detection requirements. Full process and network telemetry with anomaly detection satisfies CC7.2 system monitoring. Forensic telemetry with flow search enables the security event evaluation required by CC7.3.</w:t>
      </w:r>
    </w:p>
    <w:p>
      <w:pPr>
        <w:pStyle w:val="Normal"/>
        <w:spacing w:before="100" w:after="0"/>
        <w:rPr/>
      </w:pPr>
      <w:r>
        <w:rPr/>
      </w:r>
    </w:p>
    <w:p>
      <w:pPr>
        <w:pStyle w:val="Heading2"/>
        <w:spacing w:before="300" w:after="160"/>
        <w:rPr/>
      </w:pPr>
      <w:r>
        <w:rPr>
          <w:rFonts w:eastAsia="Arial" w:cs="Arial" w:ascii="Arial" w:hAnsi="Arial"/>
          <w:b/>
          <w:bCs/>
          <w:color w:val="0070C0"/>
          <w:sz w:val="28"/>
          <w:szCs w:val="28"/>
        </w:rPr>
        <w:t>CC8 — Change Management</w:t>
      </w:r>
    </w:p>
    <w:p>
      <w:pPr>
        <w:pStyle w:val="Normal"/>
        <w:spacing w:before="80" w:after="80"/>
        <w:rPr/>
      </w:pPr>
      <w:r>
        <w:rPr>
          <w:rFonts w:eastAsia="Arial" w:cs="Arial"/>
          <w:b w:val="false"/>
          <w:bCs w:val="false"/>
          <w:i w:val="false"/>
          <w:iCs w:val="false"/>
          <w:color w:val="000000"/>
          <w:sz w:val="22"/>
          <w:szCs w:val="22"/>
        </w:rPr>
        <w:t>CSW policy workspace versioning provides an immutable audit trail of all security control changes. Quarterly ADM re-runs detect unauthorized changes to system communication patterns — serving as continuous configuration drift detection for CC8.1.</w:t>
      </w:r>
    </w:p>
    <w:p>
      <w:pPr>
        <w:pStyle w:val="Normal"/>
        <w:spacing w:before="100" w:after="0"/>
        <w:rPr/>
      </w:pPr>
      <w:r>
        <w:rPr/>
      </w:r>
    </w:p>
    <w:p>
      <w:pPr>
        <w:pStyle w:val="Heading1"/>
        <w:pBdr>
          <w:bottom w:val="single" w:sz="8" w:space="4" w:color="0070C0"/>
        </w:pBdr>
        <w:spacing w:before="400" w:after="200"/>
        <w:rPr/>
      </w:pPr>
      <w:r>
        <w:rPr>
          <w:rFonts w:eastAsia="Arial" w:cs="Arial" w:ascii="Arial" w:hAnsi="Arial"/>
          <w:b/>
          <w:bCs/>
          <w:color w:val="003366"/>
          <w:sz w:val="36"/>
          <w:szCs w:val="36"/>
        </w:rPr>
        <w:t>Evidence Collection Guide</w:t>
      </w:r>
    </w:p>
    <w:p>
      <w:pPr>
        <w:pStyle w:val="Normal"/>
        <w:spacing w:before="80" w:after="80"/>
        <w:rPr/>
      </w:pPr>
      <w:r>
        <w:rPr>
          <w:rFonts w:eastAsia="Arial" w:cs="Arial"/>
          <w:b w:val="false"/>
          <w:bCs w:val="false"/>
          <w:i w:val="false"/>
          <w:iCs w:val="false"/>
          <w:color w:val="000000"/>
          <w:sz w:val="22"/>
          <w:szCs w:val="22"/>
        </w:rPr>
        <w:t>The following evidence artifacts satisfy SOC 2 Type II auditor requirements:</w:t>
      </w:r>
    </w:p>
    <w:p>
      <w:pPr>
        <w:pStyle w:val="Normal"/>
        <w:spacing w:before="100" w:after="0"/>
        <w:rPr/>
      </w:pPr>
      <w:r>
        <w:rPr/>
      </w:r>
    </w:p>
    <w:tbl>
      <w:tblPr>
        <w:tblW w:w="9360" w:type="dxa"/>
        <w:jc w:val="start"/>
        <w:tblInd w:w="0" w:type="dxa"/>
        <w:tblLayout w:type="fixed"/>
        <w:tblCellMar>
          <w:top w:w="80" w:type="dxa"/>
          <w:start w:w="120" w:type="dxa"/>
          <w:bottom w:w="80" w:type="dxa"/>
          <w:end w:w="120" w:type="dxa"/>
        </w:tblCellMar>
      </w:tblPr>
      <w:tblGrid>
        <w:gridCol w:w="2799"/>
        <w:gridCol w:w="2500"/>
        <w:gridCol w:w="1560"/>
        <w:gridCol w:w="2501"/>
      </w:tblGrid>
      <w:tr>
        <w:trPr/>
        <w:tc>
          <w:tcPr>
            <w:tcW w:w="2799"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Evidence Artifact</w:t>
            </w:r>
          </w:p>
        </w:tc>
        <w:tc>
          <w:tcPr>
            <w:tcW w:w="2500"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CSW Source</w:t>
            </w:r>
          </w:p>
        </w:tc>
        <w:tc>
          <w:tcPr>
            <w:tcW w:w="1560"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CC Control</w:t>
            </w:r>
          </w:p>
        </w:tc>
        <w:tc>
          <w:tcPr>
            <w:tcW w:w="2501" w:type="dxa"/>
            <w:tcBorders>
              <w:top w:val="single" w:sz="2" w:space="0" w:color="D9D9D9"/>
              <w:start w:val="single" w:sz="2" w:space="0" w:color="D9D9D9"/>
              <w:bottom w:val="single" w:sz="2" w:space="0" w:color="D9D9D9"/>
              <w:end w:val="single" w:sz="2" w:space="0" w:color="D9D9D9"/>
            </w:tcBorders>
            <w:shd w:fill="003366" w:val="clear"/>
            <w:vAlign w:val="center"/>
          </w:tcPr>
          <w:p>
            <w:pPr>
              <w:pStyle w:val="Normal"/>
              <w:jc w:val="center"/>
              <w:rPr/>
            </w:pPr>
            <w:r>
              <w:rPr>
                <w:rFonts w:eastAsia="Arial" w:cs="Arial"/>
                <w:b/>
                <w:bCs/>
                <w:i w:val="false"/>
                <w:iCs w:val="false"/>
                <w:color w:val="FFFFFF"/>
                <w:sz w:val="20"/>
                <w:szCs w:val="20"/>
              </w:rPr>
              <w:t>Frequency</w:t>
            </w:r>
          </w:p>
        </w:tc>
      </w:tr>
      <w:tr>
        <w:trPr/>
        <w:tc>
          <w:tcPr>
            <w:tcW w:w="27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bCs/>
                <w:i w:val="false"/>
                <w:iCs w:val="false"/>
                <w:color w:val="000000"/>
                <w:sz w:val="20"/>
                <w:szCs w:val="20"/>
              </w:rPr>
              <w:t>Access control policy export</w:t>
            </w:r>
          </w:p>
        </w:tc>
        <w:tc>
          <w:tcPr>
            <w:tcW w:w="250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Defend → Policy Workspaces</w:t>
            </w:r>
          </w:p>
        </w:tc>
        <w:tc>
          <w:tcPr>
            <w:tcW w:w="156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CC6.1</w:t>
            </w:r>
          </w:p>
        </w:tc>
        <w:tc>
          <w:tcPr>
            <w:tcW w:w="2501" w:type="dxa"/>
            <w:tcBorders>
              <w:top w:val="single" w:sz="2" w:space="0" w:color="D9D9D9"/>
              <w:start w:val="single" w:sz="2" w:space="0" w:color="D9D9D9"/>
              <w:bottom w:val="single" w:sz="2" w:space="0" w:color="D9D9D9"/>
              <w:end w:val="single" w:sz="2" w:space="0" w:color="D9D9D9"/>
            </w:tcBorders>
            <w:shd w:fill="D9D9D9" w:val="clear"/>
            <w:vAlign w:val="center"/>
          </w:tcPr>
          <w:p>
            <w:pPr>
              <w:pStyle w:val="Normal"/>
              <w:jc w:val="center"/>
              <w:rPr/>
            </w:pPr>
            <w:r>
              <w:rPr>
                <w:rFonts w:eastAsia="Arial" w:cs="Arial"/>
                <w:b/>
                <w:bCs/>
                <w:i w:val="false"/>
                <w:iCs w:val="false"/>
                <w:color w:val="FFFFFF"/>
                <w:sz w:val="18"/>
                <w:szCs w:val="18"/>
              </w:rPr>
              <w:t>Per audit request</w:t>
            </w:r>
          </w:p>
        </w:tc>
      </w:tr>
      <w:tr>
        <w:trPr/>
        <w:tc>
          <w:tcPr>
            <w:tcW w:w="27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bCs/>
                <w:i w:val="false"/>
                <w:iCs w:val="false"/>
                <w:color w:val="000000"/>
                <w:sz w:val="20"/>
                <w:szCs w:val="20"/>
              </w:rPr>
              <w:t>Policy violation log</w:t>
            </w:r>
          </w:p>
        </w:tc>
        <w:tc>
          <w:tcPr>
            <w:tcW w:w="250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Alerts → Triggered Events</w:t>
            </w:r>
          </w:p>
        </w:tc>
        <w:tc>
          <w:tcPr>
            <w:tcW w:w="156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CC6.1, CC6.6</w:t>
            </w:r>
          </w:p>
        </w:tc>
        <w:tc>
          <w:tcPr>
            <w:tcW w:w="2501" w:type="dxa"/>
            <w:tcBorders>
              <w:top w:val="single" w:sz="2" w:space="0" w:color="D9D9D9"/>
              <w:start w:val="single" w:sz="2" w:space="0" w:color="D9D9D9"/>
              <w:bottom w:val="single" w:sz="2" w:space="0" w:color="D9D9D9"/>
              <w:end w:val="single" w:sz="2" w:space="0" w:color="D9D9D9"/>
            </w:tcBorders>
            <w:shd w:fill="D9D9D9" w:val="clear"/>
            <w:vAlign w:val="center"/>
          </w:tcPr>
          <w:p>
            <w:pPr>
              <w:pStyle w:val="Normal"/>
              <w:jc w:val="center"/>
              <w:rPr/>
            </w:pPr>
            <w:r>
              <w:rPr>
                <w:rFonts w:eastAsia="Arial" w:cs="Arial"/>
                <w:b/>
                <w:bCs/>
                <w:i w:val="false"/>
                <w:iCs w:val="false"/>
                <w:color w:val="FFFFFF"/>
                <w:sz w:val="18"/>
                <w:szCs w:val="18"/>
              </w:rPr>
              <w:t>Monthly export</w:t>
            </w:r>
          </w:p>
        </w:tc>
      </w:tr>
      <w:tr>
        <w:trPr/>
        <w:tc>
          <w:tcPr>
            <w:tcW w:w="27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bCs/>
                <w:i w:val="false"/>
                <w:iCs w:val="false"/>
                <w:color w:val="000000"/>
                <w:sz w:val="20"/>
                <w:szCs w:val="20"/>
              </w:rPr>
              <w:t>Vulnerability scan report</w:t>
            </w:r>
          </w:p>
        </w:tc>
        <w:tc>
          <w:tcPr>
            <w:tcW w:w="250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Investigate → Vulnerability</w:t>
            </w:r>
          </w:p>
        </w:tc>
        <w:tc>
          <w:tcPr>
            <w:tcW w:w="156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CC7.1, CC9.1</w:t>
            </w:r>
          </w:p>
        </w:tc>
        <w:tc>
          <w:tcPr>
            <w:tcW w:w="2501" w:type="dxa"/>
            <w:tcBorders>
              <w:top w:val="single" w:sz="2" w:space="0" w:color="D9D9D9"/>
              <w:start w:val="single" w:sz="2" w:space="0" w:color="D9D9D9"/>
              <w:bottom w:val="single" w:sz="2" w:space="0" w:color="D9D9D9"/>
              <w:end w:val="single" w:sz="2" w:space="0" w:color="D9D9D9"/>
            </w:tcBorders>
            <w:shd w:fill="D9D9D9" w:val="clear"/>
            <w:vAlign w:val="center"/>
          </w:tcPr>
          <w:p>
            <w:pPr>
              <w:pStyle w:val="Normal"/>
              <w:jc w:val="center"/>
              <w:rPr/>
            </w:pPr>
            <w:r>
              <w:rPr>
                <w:rFonts w:eastAsia="Arial" w:cs="Arial"/>
                <w:b/>
                <w:bCs/>
                <w:i w:val="false"/>
                <w:iCs w:val="false"/>
                <w:color w:val="FFFFFF"/>
                <w:sz w:val="18"/>
                <w:szCs w:val="18"/>
              </w:rPr>
              <w:t>Weekly</w:t>
            </w:r>
          </w:p>
        </w:tc>
      </w:tr>
      <w:tr>
        <w:trPr/>
        <w:tc>
          <w:tcPr>
            <w:tcW w:w="27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bCs/>
                <w:i w:val="false"/>
                <w:iCs w:val="false"/>
                <w:color w:val="000000"/>
                <w:sz w:val="20"/>
                <w:szCs w:val="20"/>
              </w:rPr>
              <w:t>Network flow audit log</w:t>
            </w:r>
          </w:p>
        </w:tc>
        <w:tc>
          <w:tcPr>
            <w:tcW w:w="250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Investigate → Flow Search</w:t>
            </w:r>
          </w:p>
        </w:tc>
        <w:tc>
          <w:tcPr>
            <w:tcW w:w="156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CC6.7, CC7.2</w:t>
            </w:r>
          </w:p>
        </w:tc>
        <w:tc>
          <w:tcPr>
            <w:tcW w:w="2501" w:type="dxa"/>
            <w:tcBorders>
              <w:top w:val="single" w:sz="2" w:space="0" w:color="D9D9D9"/>
              <w:start w:val="single" w:sz="2" w:space="0" w:color="D9D9D9"/>
              <w:bottom w:val="single" w:sz="2" w:space="0" w:color="D9D9D9"/>
              <w:end w:val="single" w:sz="2" w:space="0" w:color="D9D9D9"/>
            </w:tcBorders>
            <w:shd w:fill="D9D9D9" w:val="clear"/>
            <w:vAlign w:val="center"/>
          </w:tcPr>
          <w:p>
            <w:pPr>
              <w:pStyle w:val="Normal"/>
              <w:jc w:val="center"/>
              <w:rPr/>
            </w:pPr>
            <w:r>
              <w:rPr>
                <w:rFonts w:eastAsia="Arial" w:cs="Arial"/>
                <w:b/>
                <w:bCs/>
                <w:i w:val="false"/>
                <w:iCs w:val="false"/>
                <w:color w:val="FFFFFF"/>
                <w:sz w:val="18"/>
                <w:szCs w:val="18"/>
              </w:rPr>
              <w:t>Continuous</w:t>
            </w:r>
          </w:p>
        </w:tc>
      </w:tr>
      <w:tr>
        <w:trPr/>
        <w:tc>
          <w:tcPr>
            <w:tcW w:w="27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bCs/>
                <w:i w:val="false"/>
                <w:iCs w:val="false"/>
                <w:color w:val="000000"/>
                <w:sz w:val="20"/>
                <w:szCs w:val="20"/>
              </w:rPr>
              <w:t>Anomaly alert log</w:t>
            </w:r>
          </w:p>
        </w:tc>
        <w:tc>
          <w:tcPr>
            <w:tcW w:w="250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Alerts → Dashboard</w:t>
            </w:r>
          </w:p>
        </w:tc>
        <w:tc>
          <w:tcPr>
            <w:tcW w:w="156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CC7.2, CC7.3</w:t>
            </w:r>
          </w:p>
        </w:tc>
        <w:tc>
          <w:tcPr>
            <w:tcW w:w="2501" w:type="dxa"/>
            <w:tcBorders>
              <w:top w:val="single" w:sz="2" w:space="0" w:color="D9D9D9"/>
              <w:start w:val="single" w:sz="2" w:space="0" w:color="D9D9D9"/>
              <w:bottom w:val="single" w:sz="2" w:space="0" w:color="D9D9D9"/>
              <w:end w:val="single" w:sz="2" w:space="0" w:color="D9D9D9"/>
            </w:tcBorders>
            <w:shd w:fill="D9D9D9" w:val="clear"/>
            <w:vAlign w:val="center"/>
          </w:tcPr>
          <w:p>
            <w:pPr>
              <w:pStyle w:val="Normal"/>
              <w:jc w:val="center"/>
              <w:rPr/>
            </w:pPr>
            <w:r>
              <w:rPr>
                <w:rFonts w:eastAsia="Arial" w:cs="Arial"/>
                <w:b/>
                <w:bCs/>
                <w:i w:val="false"/>
                <w:iCs w:val="false"/>
                <w:color w:val="FFFFFF"/>
                <w:sz w:val="18"/>
                <w:szCs w:val="18"/>
              </w:rPr>
              <w:t>Monthly</w:t>
            </w:r>
          </w:p>
        </w:tc>
      </w:tr>
      <w:tr>
        <w:trPr/>
        <w:tc>
          <w:tcPr>
            <w:tcW w:w="27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bCs/>
                <w:i w:val="false"/>
                <w:iCs w:val="false"/>
                <w:color w:val="000000"/>
                <w:sz w:val="20"/>
                <w:szCs w:val="20"/>
              </w:rPr>
              <w:t>ADM application map</w:t>
            </w:r>
          </w:p>
        </w:tc>
        <w:tc>
          <w:tcPr>
            <w:tcW w:w="250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Investigate → ADM</w:t>
            </w:r>
          </w:p>
        </w:tc>
        <w:tc>
          <w:tcPr>
            <w:tcW w:w="156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CC6.6, CC8.1</w:t>
            </w:r>
          </w:p>
        </w:tc>
        <w:tc>
          <w:tcPr>
            <w:tcW w:w="2501" w:type="dxa"/>
            <w:tcBorders>
              <w:top w:val="single" w:sz="2" w:space="0" w:color="D9D9D9"/>
              <w:start w:val="single" w:sz="2" w:space="0" w:color="D9D9D9"/>
              <w:bottom w:val="single" w:sz="2" w:space="0" w:color="D9D9D9"/>
              <w:end w:val="single" w:sz="2" w:space="0" w:color="D9D9D9"/>
            </w:tcBorders>
            <w:shd w:fill="D9D9D9" w:val="clear"/>
            <w:vAlign w:val="center"/>
          </w:tcPr>
          <w:p>
            <w:pPr>
              <w:pStyle w:val="Normal"/>
              <w:jc w:val="center"/>
              <w:rPr/>
            </w:pPr>
            <w:r>
              <w:rPr>
                <w:rFonts w:eastAsia="Arial" w:cs="Arial"/>
                <w:b/>
                <w:bCs/>
                <w:i w:val="false"/>
                <w:iCs w:val="false"/>
                <w:color w:val="FFFFFF"/>
                <w:sz w:val="18"/>
                <w:szCs w:val="18"/>
              </w:rPr>
              <w:t>Quarterly</w:t>
            </w:r>
          </w:p>
        </w:tc>
      </w:tr>
      <w:tr>
        <w:trPr/>
        <w:tc>
          <w:tcPr>
            <w:tcW w:w="2799"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bCs/>
                <w:i w:val="false"/>
                <w:iCs w:val="false"/>
                <w:color w:val="000000"/>
                <w:sz w:val="20"/>
                <w:szCs w:val="20"/>
              </w:rPr>
              <w:t>Sensor health report</w:t>
            </w:r>
          </w:p>
        </w:tc>
        <w:tc>
          <w:tcPr>
            <w:tcW w:w="250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Manage → Agents</w:t>
            </w:r>
          </w:p>
        </w:tc>
        <w:tc>
          <w:tcPr>
            <w:tcW w:w="1560" w:type="dxa"/>
            <w:tcBorders>
              <w:top w:val="single" w:sz="2" w:space="0" w:color="D9D9D9"/>
              <w:start w:val="single" w:sz="2" w:space="0" w:color="D9D9D9"/>
              <w:bottom w:val="single" w:sz="2" w:space="0" w:color="D9D9D9"/>
              <w:end w:val="single" w:sz="2" w:space="0" w:color="D9D9D9"/>
            </w:tcBorders>
            <w:shd w:fill="FFFFFF" w:val="clear"/>
            <w:vAlign w:val="center"/>
          </w:tcPr>
          <w:p>
            <w:pPr>
              <w:pStyle w:val="Normal"/>
              <w:jc w:val="start"/>
              <w:rPr/>
            </w:pPr>
            <w:r>
              <w:rPr>
                <w:rFonts w:eastAsia="Arial" w:cs="Arial"/>
                <w:b w:val="false"/>
                <w:bCs w:val="false"/>
                <w:i w:val="false"/>
                <w:iCs w:val="false"/>
                <w:color w:val="000000"/>
                <w:sz w:val="19"/>
                <w:szCs w:val="19"/>
              </w:rPr>
              <w:t>CC7.2, A1.1</w:t>
            </w:r>
          </w:p>
        </w:tc>
        <w:tc>
          <w:tcPr>
            <w:tcW w:w="2501" w:type="dxa"/>
            <w:tcBorders>
              <w:top w:val="single" w:sz="2" w:space="0" w:color="D9D9D9"/>
              <w:start w:val="single" w:sz="2" w:space="0" w:color="D9D9D9"/>
              <w:bottom w:val="single" w:sz="2" w:space="0" w:color="D9D9D9"/>
              <w:end w:val="single" w:sz="2" w:space="0" w:color="D9D9D9"/>
            </w:tcBorders>
            <w:shd w:fill="D9D9D9" w:val="clear"/>
            <w:vAlign w:val="center"/>
          </w:tcPr>
          <w:p>
            <w:pPr>
              <w:pStyle w:val="Normal"/>
              <w:jc w:val="center"/>
              <w:rPr/>
            </w:pPr>
            <w:r>
              <w:rPr>
                <w:rFonts w:eastAsia="Arial" w:cs="Arial"/>
                <w:b/>
                <w:bCs/>
                <w:i w:val="false"/>
                <w:iCs w:val="false"/>
                <w:color w:val="FFFFFF"/>
                <w:sz w:val="18"/>
                <w:szCs w:val="18"/>
              </w:rPr>
              <w:t>Monthly</w:t>
            </w:r>
          </w:p>
        </w:tc>
      </w:tr>
      <w:tr>
        <w:trPr/>
        <w:tc>
          <w:tcPr>
            <w:tcW w:w="2799"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bCs/>
                <w:i w:val="false"/>
                <w:iCs w:val="false"/>
                <w:color w:val="000000"/>
                <w:sz w:val="20"/>
                <w:szCs w:val="20"/>
              </w:rPr>
              <w:t>Policy change audit trail</w:t>
            </w:r>
          </w:p>
        </w:tc>
        <w:tc>
          <w:tcPr>
            <w:tcW w:w="250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Policy workspace history</w:t>
            </w:r>
          </w:p>
        </w:tc>
        <w:tc>
          <w:tcPr>
            <w:tcW w:w="1560" w:type="dxa"/>
            <w:tcBorders>
              <w:top w:val="single" w:sz="2" w:space="0" w:color="D9D9D9"/>
              <w:start w:val="single" w:sz="2" w:space="0" w:color="D9D9D9"/>
              <w:bottom w:val="single" w:sz="2" w:space="0" w:color="D9D9D9"/>
              <w:end w:val="single" w:sz="2" w:space="0" w:color="D9D9D9"/>
            </w:tcBorders>
            <w:shd w:fill="F2F2F2" w:val="clear"/>
            <w:vAlign w:val="center"/>
          </w:tcPr>
          <w:p>
            <w:pPr>
              <w:pStyle w:val="Normal"/>
              <w:jc w:val="start"/>
              <w:rPr/>
            </w:pPr>
            <w:r>
              <w:rPr>
                <w:rFonts w:eastAsia="Arial" w:cs="Arial"/>
                <w:b w:val="false"/>
                <w:bCs w:val="false"/>
                <w:i w:val="false"/>
                <w:iCs w:val="false"/>
                <w:color w:val="000000"/>
                <w:sz w:val="19"/>
                <w:szCs w:val="19"/>
              </w:rPr>
              <w:t>CC8.1</w:t>
            </w:r>
          </w:p>
        </w:tc>
        <w:tc>
          <w:tcPr>
            <w:tcW w:w="2501" w:type="dxa"/>
            <w:tcBorders>
              <w:top w:val="single" w:sz="2" w:space="0" w:color="D9D9D9"/>
              <w:start w:val="single" w:sz="2" w:space="0" w:color="D9D9D9"/>
              <w:bottom w:val="single" w:sz="2" w:space="0" w:color="D9D9D9"/>
              <w:end w:val="single" w:sz="2" w:space="0" w:color="D9D9D9"/>
            </w:tcBorders>
            <w:shd w:fill="D9D9D9" w:val="clear"/>
            <w:vAlign w:val="center"/>
          </w:tcPr>
          <w:p>
            <w:pPr>
              <w:pStyle w:val="Normal"/>
              <w:jc w:val="center"/>
              <w:rPr/>
            </w:pPr>
            <w:r>
              <w:rPr>
                <w:rFonts w:eastAsia="Arial" w:cs="Arial"/>
                <w:b/>
                <w:bCs/>
                <w:i w:val="false"/>
                <w:iCs w:val="false"/>
                <w:color w:val="FFFFFF"/>
                <w:sz w:val="18"/>
                <w:szCs w:val="18"/>
              </w:rPr>
              <w:t>Per change</w:t>
            </w:r>
          </w:p>
        </w:tc>
      </w:tr>
    </w:tbl>
    <w:p>
      <w:pPr>
        <w:pStyle w:val="Normal"/>
        <w:spacing w:before="100" w:after="0"/>
        <w:rPr/>
      </w:pPr>
      <w:r>
        <w:rPr/>
      </w:r>
    </w:p>
    <w:p>
      <w:pPr>
        <w:pStyle w:val="Heading1"/>
        <w:pBdr>
          <w:bottom w:val="single" w:sz="8" w:space="4" w:color="0070C0"/>
        </w:pBdr>
        <w:spacing w:before="400" w:after="200"/>
        <w:rPr/>
      </w:pPr>
      <w:r>
        <w:rPr>
          <w:rFonts w:eastAsia="Arial" w:cs="Arial" w:ascii="Arial" w:hAnsi="Arial"/>
          <w:b/>
          <w:bCs/>
          <w:color w:val="003366"/>
          <w:sz w:val="36"/>
          <w:szCs w:val="36"/>
        </w:rPr>
        <w:t>Deployment Recommendations</w:t>
      </w:r>
    </w:p>
    <w:p>
      <w:pPr>
        <w:pStyle w:val="ListParagraph"/>
        <w:numPr>
          <w:ilvl w:val="0"/>
          <w:numId w:val="3"/>
        </w:numPr>
        <w:spacing w:before="60" w:after="60"/>
        <w:rPr/>
      </w:pPr>
      <w:r>
        <w:rPr>
          <w:rFonts w:eastAsia="Arial" w:cs="Arial"/>
          <w:sz w:val="22"/>
          <w:szCs w:val="22"/>
        </w:rPr>
        <w:t>Enable full flow telemetry retention from Day 1 — SOC 2 Type II requires evidence across the entire audit period (6–12 months minimum)</w:t>
      </w:r>
    </w:p>
    <w:p>
      <w:pPr>
        <w:pStyle w:val="ListParagraph"/>
        <w:numPr>
          <w:ilvl w:val="0"/>
          <w:numId w:val="1"/>
        </w:numPr>
        <w:spacing w:before="60" w:after="60"/>
        <w:rPr/>
      </w:pPr>
      <w:r>
        <w:rPr>
          <w:rFonts w:eastAsia="Arial" w:cs="Arial"/>
          <w:sz w:val="22"/>
          <w:szCs w:val="22"/>
        </w:rPr>
        <w:t>Configure alert export to SIEM for centralized evidence collection and automated review</w:t>
      </w:r>
    </w:p>
    <w:p>
      <w:pPr>
        <w:pStyle w:val="ListParagraph"/>
        <w:numPr>
          <w:ilvl w:val="0"/>
          <w:numId w:val="1"/>
        </w:numPr>
        <w:spacing w:before="60" w:after="60"/>
        <w:rPr/>
      </w:pPr>
      <w:r>
        <w:rPr>
          <w:rFonts w:eastAsia="Arial" w:cs="Arial"/>
          <w:sz w:val="22"/>
          <w:szCs w:val="22"/>
        </w:rPr>
        <w:t>Run ADM before enforcement — document the approved baseline before locking down communication paths</w:t>
      </w:r>
    </w:p>
    <w:p>
      <w:pPr>
        <w:pStyle w:val="ListParagraph"/>
        <w:numPr>
          <w:ilvl w:val="0"/>
          <w:numId w:val="1"/>
        </w:numPr>
        <w:spacing w:before="60" w:after="60"/>
        <w:rPr/>
      </w:pPr>
      <w:r>
        <w:rPr>
          <w:rFonts w:eastAsia="Arial" w:cs="Arial"/>
          <w:sz w:val="22"/>
          <w:szCs w:val="22"/>
        </w:rPr>
        <w:t>Schedule quarterly ADM re-runs to detect configuration drift for CC8.1 change management evidence</w:t>
      </w:r>
    </w:p>
    <w:p>
      <w:pPr>
        <w:pStyle w:val="ListParagraph"/>
        <w:numPr>
          <w:ilvl w:val="0"/>
          <w:numId w:val="1"/>
        </w:numPr>
        <w:spacing w:before="60" w:after="60"/>
        <w:rPr/>
      </w:pPr>
      <w:r>
        <w:rPr>
          <w:rFonts w:eastAsia="Arial" w:cs="Arial"/>
          <w:sz w:val="22"/>
          <w:szCs w:val="22"/>
        </w:rPr>
        <w:t>Set CVSS ≥ 7.0 alert threshold for immediate notification on high-severity vulnerabilities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2" w:color="D9D9D9"/>
      </w:pBdr>
      <w:rPr/>
    </w:pPr>
    <w:r>
      <w:rPr>
        <w:rFonts w:eastAsia="Arial" w:cs="Arial"/>
        <w:color w:val="888888"/>
        <w:sz w:val="16"/>
        <w:szCs w:val="16"/>
      </w:rPr>
      <w:t xml:space="preserve">© 2025 Cisco Systems, Inc. All rights reserved.  |  Cisco Confidential  |  Page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2" w:color="D9D9D9"/>
      </w:pBdr>
      <w:rPr/>
    </w:pPr>
    <w:r>
      <w:rPr>
        <w:rFonts w:eastAsia="Arial" w:cs="Arial"/>
        <w:color w:val="888888"/>
        <w:sz w:val="16"/>
        <w:szCs w:val="16"/>
      </w:rPr>
      <w:t xml:space="preserve">© 2025 Cisco Systems, Inc. All rights reserved.  |  Cisco Confidential  |  Page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2" w:color="0070C0"/>
      </w:pBdr>
      <w:tabs>
        <w:tab w:val="clear" w:pos="720"/>
        <w:tab w:val="right" w:pos="9026" w:leader="none"/>
      </w:tabs>
      <w:rPr/>
    </w:pPr>
    <w:r>
      <w:rPr>
        <w:rFonts w:eastAsia="Arial" w:cs="Arial"/>
        <w:b/>
        <w:bCs/>
        <w:color w:val="003366"/>
        <w:sz w:val="16"/>
        <w:szCs w:val="16"/>
      </w:rPr>
      <w:t>CISCO SECURE WORKLOAD  |  SOC 2 COMPLIANCE FRAMEWORK</w:t>
    </w:r>
    <w:r>
      <w:rPr>
        <w:rFonts w:eastAsia="Arial" w:cs="Arial"/>
        <w:color w:val="888888"/>
        <w:sz w:val="16"/>
        <w:szCs w:val="16"/>
      </w:rPr>
      <w:tab/>
      <w:t>[Customer Name] — Confidential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2" w:color="0070C0"/>
      </w:pBdr>
      <w:tabs>
        <w:tab w:val="clear" w:pos="720"/>
        <w:tab w:val="right" w:pos="9026" w:leader="none"/>
      </w:tabs>
      <w:rPr/>
    </w:pPr>
    <w:r>
      <w:rPr>
        <w:rFonts w:eastAsia="Arial" w:cs="Arial"/>
        <w:b/>
        <w:bCs/>
        <w:color w:val="003366"/>
        <w:sz w:val="16"/>
        <w:szCs w:val="16"/>
      </w:rPr>
      <w:t>CISCO SECURE WORKLOAD  |  SOC 2 COMPLIANCE FRAMEWORK</w:t>
    </w:r>
    <w:r>
      <w:rPr>
        <w:rFonts w:eastAsia="Arial" w:cs="Arial"/>
        <w:color w:val="888888"/>
        <w:sz w:val="16"/>
        <w:szCs w:val="16"/>
      </w:rPr>
      <w:tab/>
      <w:t>[Customer Name] — Confidential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00" w:after="200"/>
      <w:outlineLvl w:val="0"/>
    </w:pPr>
    <w:rPr>
      <w:rFonts w:ascii="Arial" w:hAnsi="Arial" w:eastAsia="Arial" w:cs="Arial"/>
      <w:b/>
      <w:bCs/>
      <w:color w:val="003366"/>
      <w:sz w:val="36"/>
      <w:szCs w:val="36"/>
    </w:rPr>
  </w:style>
  <w:style w:type="paragraph" w:styleId="Heading2">
    <w:name w:val="heading 2"/>
    <w:basedOn w:val="Heading"/>
    <w:qFormat/>
    <w:pPr>
      <w:spacing w:before="300" w:after="160"/>
      <w:outlineLvl w:val="1"/>
    </w:pPr>
    <w:rPr>
      <w:rFonts w:ascii="Arial" w:hAnsi="Arial" w:eastAsia="Arial" w:cs="Arial"/>
      <w:b/>
      <w:bCs/>
      <w:color w:val="0070C0"/>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2026-04-29T23:36:29Z</dcterms:created>
  <dc:creator>Un-named</dc:creator>
  <dc:description/>
  <dc:language>en-US</dc:language>
  <cp:lastModifiedBy>Un-named</cp:lastModifiedBy>
  <dcterms:modified xsi:type="dcterms:W3CDTF">2026-04-29T23:36:29Z</dcterms:modified>
  <cp:revision>1</cp:revision>
  <dc:subject/>
  <dc:title/>
</cp:coreProperties>
</file>