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Cisco Secure Workload - TISAX / VDA ISA Compliance Report</w:t>
      </w:r>
    </w:p>
    <w:bookmarkStart w:id="22" w:name="Xafd3b9e2ec65980feec55d8488686f4fdb7c17e"/>
    <w:p>
      <w:pPr>
        <w:pStyle w:val="Heading1"/>
      </w:pPr>
      <w:r>
        <w:t xml:space="preserve">Cisco Secure Workload - TISAX / VDA ISA Compliance Report</w:t>
      </w:r>
    </w:p>
    <w:bookmarkStart w:id="9" w:name="customer-facing-compliance-report"/>
    <w:p>
      <w:pPr>
        <w:pStyle w:val="Heading2"/>
      </w:pPr>
      <w:r>
        <w:t xml:space="preserve">Customer-Facing Compliance Report</w:t>
      </w:r>
    </w:p>
    <w:p>
      <w:pPr>
        <w:pStyle w:val="FirstParagraph"/>
      </w:pPr>
      <w:r>
        <w:rPr>
          <w:b/>
          <w:bCs/>
        </w:rPr>
        <w:t xml:space="preserve">Framework:</w:t>
      </w:r>
      <w:r>
        <w:t xml:space="preserve"> </w:t>
      </w:r>
      <w:r>
        <w:t xml:space="preserve">TISAX (Trusted Information Security Assessment Exchange) - assessment of the VDA ISA (Information Security Assessment) catalogue</w:t>
      </w:r>
      <w:r>
        <w:br/>
      </w:r>
      <w:r>
        <w:rPr>
          <w:b/>
          <w:bCs/>
        </w:rPr>
        <w:t xml:space="preserve">Primary audience:</w:t>
      </w:r>
      <w:r>
        <w:t xml:space="preserve"> </w:t>
      </w:r>
      <w:r>
        <w:t xml:space="preserve">Automotive suppliers, OEM partners, and engineering / development service providers preparing for, maintaining, or renewing a TISAX assessment.</w:t>
      </w:r>
      <w:r>
        <w:br/>
      </w:r>
      <w:r>
        <w:rPr>
          <w:b/>
          <w:bCs/>
        </w:rPr>
        <w:t xml:space="preserve">CSW positioning:</w:t>
      </w:r>
      <w:r>
        <w:t xml:space="preserve"> </w:t>
      </w:r>
      <w:r>
        <w:t xml:space="preserve">Information security level evidence, prototype-protection segmentation, data-protection segmentation, and supplier readiness for the ENX/TISAX assessment.</w:t>
      </w:r>
    </w:p>
    <w:p>
      <w:r>
        <w:pict>
          <v:rect style="width:0;height:1.5pt" o:hralign="center" o:hrstd="t" o:hr="t"/>
        </w:pict>
      </w:r>
    </w:p>
    <w:bookmarkEnd w:id="9"/>
    <w:bookmarkStart w:id="10" w:name="framework-version-note"/>
    <w:p>
      <w:pPr>
        <w:pStyle w:val="Heading2"/>
      </w:pPr>
      <w:r>
        <w:t xml:space="preserve">Framework Version Note</w:t>
      </w:r>
    </w:p>
    <w:p>
      <w:pPr>
        <w:pStyle w:val="FirstParagraph"/>
      </w:pPr>
      <w:r>
        <w:t xml:space="preserve">TISAX is the assessment label operated by the ENX Association; VDA ISA is the underlying control catalogue. VDA ISA has multiple published versions (5.x at time of writing). This report references VDA ISA topic areas by name, not specific control numbers, because control numbering may vary across catalogue versions. Validate against the VDA ISA workbook version applicable to your assessment scope and assessment objectives (AL 1 / AL 2 / AL 3 / AL High / AL Very High).</w:t>
      </w:r>
    </w:p>
    <w:bookmarkEnd w:id="10"/>
    <w:bookmarkStart w:id="11" w:name="csw-ui-navigation-note"/>
    <w:p>
      <w:pPr>
        <w:pStyle w:val="Heading2"/>
      </w:pPr>
      <w:r>
        <w:t xml:space="preserve">CSW UI Navigation Note</w:t>
      </w:r>
    </w:p>
    <w:p>
      <w:pPr>
        <w:pStyle w:val="FirstParagraph"/>
      </w:pPr>
      <w:r>
        <w:t xml:space="preserve">Cisco does not yet publish framework-specific CSW UI navigation for this standard; framework-specific navigation is on the product roadmap. This report references CSW</w:t>
      </w:r>
      <w:r>
        <w:t xml:space="preserve"> </w:t>
      </w:r>
      <w:r>
        <w:rPr>
          <w:i/>
          <w:iCs/>
        </w:rPr>
        <w:t xml:space="preserve">capabilities</w:t>
      </w:r>
      <w:r>
        <w:t xml:space="preserve"> </w:t>
      </w:r>
      <w:r>
        <w:t xml:space="preserve">and the</w:t>
      </w:r>
      <w:r>
        <w:t xml:space="preserve"> </w:t>
      </w:r>
      <w:r>
        <w:rPr>
          <w:i/>
          <w:iCs/>
        </w:rPr>
        <w:t xml:space="preserve">evidence artifacts</w:t>
      </w:r>
      <w:r>
        <w:t xml:space="preserve"> </w:t>
      </w:r>
      <w:r>
        <w:t xml:space="preserve">they produce. The technical runbook (</w:t>
      </w:r>
      <w:r>
        <w:rPr>
          <w:rStyle w:val="VerbatimChar"/>
        </w:rPr>
        <w:t xml:space="preserve">CSW-TISAX-Technical-Runbook.md</w:t>
      </w:r>
      <w:r>
        <w:t xml:space="preserve">) in this folder contains the deeper engineering detail.</w:t>
      </w:r>
    </w:p>
    <w:p>
      <w:r>
        <w:pict>
          <v:rect style="width:0;height:1.5pt" o:hralign="center" o:hrstd="t" o:hr="t"/>
        </w:pict>
      </w:r>
    </w:p>
    <w:bookmarkEnd w:id="11"/>
    <w:bookmarkStart w:id="12" w:name="executive-summary"/>
    <w:p>
      <w:pPr>
        <w:pStyle w:val="Heading2"/>
      </w:pPr>
      <w:r>
        <w:t>How to read the coverage words</w:t>
      </w:r>
    </w:p>
    <w:p>
      <w:pPr/>
      <w:r>
        <w:rPr>
          <w:b/>
        </w:rPr>
        <w:t>Full Coverage</w:t>
      </w:r>
      <w:r>
        <w:t xml:space="preserve"> on the older reports means Secure Workload can produce that row's artifact. It does not mean the control is met.</w:t>
      </w:r>
    </w:p>
    <w:p>
      <w:pPr/>
      <w:r>
        <w:rPr>
          <w:b/>
        </w:rPr>
        <w:t>Partial Coverage</w:t>
      </w:r>
      <w:r>
        <w:t xml:space="preserve"> means file that export next to another control.</w:t>
      </w:r>
    </w:p>
    <w:p>
      <w:pPr/>
      <w:r>
        <w:rPr>
          <w:b/>
        </w:rPr>
        <w:t>Evidence Required</w:t>
      </w:r>
      <w:r>
        <w:t xml:space="preserve"> means Secure Workload has no record. The customer files the contract, the analysis, or the HR or physical-security evidence.</w:t>
      </w:r>
    </w:p>
    <w:p>
      <w:pPr/>
      <w:r>
        <w:rPr>
          <w:b/>
        </w:rPr>
        <w:t>Direct, Supporting, and Out of scope</w:t>
      </w:r>
      <w:r>
        <w:t xml:space="preserve"> on the newer reports are the same idea in different words. Direct is still evidence, not a pass.</w:t>
      </w:r>
    </w:p>
    <w:p>
      <w:pPr>
        <w:pStyle w:val="Heading2"/>
      </w:pPr>
      <w:r>
        <w:t xml:space="preserve">Executive Summary</w:t>
      </w:r>
    </w:p>
    <w:p>
      <w:pPr>
        <w:pStyle w:val="FirstParagraph"/>
      </w:pPr>
      <w:r>
        <w:t xml:space="preserve">Cisco Secure Workload (CSW) supports a defined subset of this framework. The strongest customer story is not that CSW</w:t>
      </w:r>
      <w:r>
        <w:t xml:space="preserve"> </w:t>
      </w:r>
      <w:r>
        <w:t xml:space="preserve">“certifies”</w:t>
      </w:r>
      <w:r>
        <w:t xml:space="preserve"> </w:t>
      </w:r>
      <w:r>
        <w:t xml:space="preserve">compliance; it is that CSW turns workload communication and inventory into evidence that the customer, the customer’s compliance team, and the customer’s assessor can review. This report describes which framework topics CSW supports, which it does not, what evidence artifacts CSW produces, and how often the customer should collect them. CSW does</w:t>
      </w:r>
      <w:r>
        <w:t xml:space="preserve"> </w:t>
      </w:r>
      <w:r>
        <w:rPr>
          <w:b/>
          <w:bCs/>
        </w:rPr>
        <w:t xml:space="preserve">not</w:t>
      </w:r>
      <w:r>
        <w:t xml:space="preserve"> </w:t>
      </w:r>
      <w:r>
        <w:t xml:space="preserve">replace the customer’s governance, policy, or assessor judgement, and this report is</w:t>
      </w:r>
      <w:r>
        <w:t xml:space="preserve"> </w:t>
      </w:r>
      <w:r>
        <w:rPr>
          <w:b/>
          <w:bCs/>
        </w:rPr>
        <w:t xml:space="preserve">not</w:t>
      </w:r>
      <w:r>
        <w:t xml:space="preserve"> </w:t>
      </w:r>
      <w:r>
        <w:t xml:space="preserve">a control attestation.</w:t>
      </w:r>
    </w:p>
    <w:bookmarkEnd w:id="12"/>
    <w:bookmarkStart w:id="13" w:name="suggested-csw-scope-pattern"/>
    <w:p>
      <w:pPr>
        <w:pStyle w:val="Heading2"/>
      </w:pPr>
      <w:r>
        <w:t xml:space="preserve">Suggested CSW Scope Pattern</w:t>
      </w:r>
    </w:p>
    <w:p>
      <w:pPr>
        <w:pStyle w:val="SourceCode"/>
      </w:pPr>
      <w:r>
        <w:rPr>
          <w:rStyle w:val="VerbatimChar"/>
        </w:rPr>
        <w:t xml:space="preserve">TISAX</w:t>
      </w:r>
      <w:r>
        <w:br/>
      </w:r>
      <w:r>
        <w:rPr>
          <w:rStyle w:val="VerbatimChar"/>
        </w:rPr>
        <w:t xml:space="preserve">├── Information-Security-Scope (Production-Workloads, Engineering-Workloads, Corporate-Adjacent)</w:t>
      </w:r>
      <w:r>
        <w:br/>
      </w:r>
      <w:r>
        <w:rPr>
          <w:rStyle w:val="VerbatimChar"/>
        </w:rPr>
        <w:t xml:space="preserve">├── Prototype-Protection-Scope (only when in assessment scope)</w:t>
      </w:r>
      <w:r>
        <w:br/>
      </w:r>
      <w:r>
        <w:rPr>
          <w:rStyle w:val="VerbatimChar"/>
        </w:rPr>
        <w:t xml:space="preserve">├── Data-Protection-Scope (only when in assessment scope)</w:t>
      </w:r>
      <w:r>
        <w:br/>
      </w:r>
      <w:r>
        <w:rPr>
          <w:rStyle w:val="VerbatimChar"/>
        </w:rPr>
        <w:t xml:space="preserve">├── Security-Services</w:t>
      </w:r>
      <w:r>
        <w:br/>
      </w:r>
      <w:r>
        <w:rPr>
          <w:rStyle w:val="VerbatimChar"/>
        </w:rPr>
        <w:t xml:space="preserve">└── Supplier-Edges</w:t>
      </w:r>
    </w:p>
    <w:p>
      <w:pPr>
        <w:pStyle w:val="FirstParagraph"/>
      </w:pPr>
      <w:r>
        <w:t xml:space="preserve">This scope pattern should be validated with the customer’s architecture, application owners, compliance team, and assessor before it is used for formal evidence.</w:t>
      </w:r>
    </w:p>
    <w:bookmarkEnd w:id="13"/>
    <w:bookmarkStart w:id="14" w:name="in-scope-for-csw-evidence"/>
    <w:p>
      <w:pPr>
        <w:pStyle w:val="Heading2"/>
      </w:pPr>
      <w:r>
        <w:t xml:space="preserve">In Scope for CSW Evidence</w:t>
      </w:r>
    </w:p>
    <w:p>
      <w:pPr>
        <w:pStyle w:val="Compact"/>
        <w:numPr>
          <w:ilvl w:val="0"/>
          <w:numId w:val="1001"/>
        </w:numPr>
      </w:pPr>
      <w:r>
        <w:t xml:space="preserve">Asset Management (workload inventory, labels, reachability)</w:t>
      </w:r>
    </w:p>
    <w:p>
      <w:pPr>
        <w:pStyle w:val="Compact"/>
        <w:numPr>
          <w:ilvl w:val="0"/>
          <w:numId w:val="1001"/>
        </w:numPr>
      </w:pPr>
      <w:r>
        <w:t xml:space="preserve">Communication Security (workload-level segmentation)</w:t>
      </w:r>
    </w:p>
    <w:p>
      <w:pPr>
        <w:pStyle w:val="Compact"/>
        <w:numPr>
          <w:ilvl w:val="0"/>
          <w:numId w:val="1001"/>
        </w:numPr>
      </w:pPr>
      <w:r>
        <w:t xml:space="preserve">Operations Security (continuous monitoring, vulnerability + reachability)</w:t>
      </w:r>
    </w:p>
    <w:p>
      <w:pPr>
        <w:pStyle w:val="Compact"/>
        <w:numPr>
          <w:ilvl w:val="0"/>
          <w:numId w:val="1001"/>
        </w:numPr>
      </w:pPr>
      <w:r>
        <w:t xml:space="preserve">Identity and Access Management (workload-to-workload layer)</w:t>
      </w:r>
    </w:p>
    <w:p>
      <w:pPr>
        <w:pStyle w:val="Compact"/>
        <w:numPr>
          <w:ilvl w:val="0"/>
          <w:numId w:val="1001"/>
        </w:numPr>
      </w:pPr>
      <w:r>
        <w:t xml:space="preserve">Information Security Incident Management (forensic flow / process telemetry)</w:t>
      </w:r>
    </w:p>
    <w:p>
      <w:pPr>
        <w:pStyle w:val="Compact"/>
        <w:numPr>
          <w:ilvl w:val="0"/>
          <w:numId w:val="1001"/>
        </w:numPr>
      </w:pPr>
      <w:r>
        <w:t xml:space="preserve">Prototype Protection (when in scope - isolation evidence)</w:t>
      </w:r>
    </w:p>
    <w:p>
      <w:pPr>
        <w:pStyle w:val="Compact"/>
        <w:numPr>
          <w:ilvl w:val="0"/>
          <w:numId w:val="1001"/>
        </w:numPr>
      </w:pPr>
      <w:r>
        <w:t xml:space="preserve">Data Protection (when in scope - isolation evidence)</w:t>
      </w:r>
    </w:p>
    <w:p>
      <w:pPr>
        <w:pStyle w:val="Compact"/>
        <w:numPr>
          <w:ilvl w:val="0"/>
          <w:numId w:val="1001"/>
        </w:numPr>
      </w:pPr>
      <w:r>
        <w:t xml:space="preserve">Supplier Relationships (outbound flow visibility)</w:t>
      </w:r>
    </w:p>
    <w:p>
      <w:pPr>
        <w:pStyle w:val="Compact"/>
        <w:numPr>
          <w:ilvl w:val="0"/>
          <w:numId w:val="1001"/>
        </w:numPr>
      </w:pPr>
      <w:r>
        <w:t xml:space="preserve">Compliance (evidence pack inputs)</w:t>
      </w:r>
    </w:p>
    <w:bookmarkEnd w:id="14"/>
    <w:bookmarkStart w:id="15" w:name="Xaed999129ed4b1f11f99b5af2968248bad86dd6"/>
    <w:p>
      <w:pPr>
        <w:pStyle w:val="Heading2"/>
      </w:pPr>
      <w:r>
        <w:t xml:space="preserve">Out of Scope (Must Be Evidenced by Other Controls / Tools / Processes)</w:t>
      </w:r>
    </w:p>
    <w:p>
      <w:pPr>
        <w:pStyle w:val="Compact"/>
        <w:numPr>
          <w:ilvl w:val="0"/>
          <w:numId w:val="1002"/>
        </w:numPr>
      </w:pPr>
      <w:r>
        <w:t xml:space="preserve">Information Security Policies and Organisation (governance)</w:t>
      </w:r>
    </w:p>
    <w:p>
      <w:pPr>
        <w:pStyle w:val="Compact"/>
        <w:numPr>
          <w:ilvl w:val="0"/>
          <w:numId w:val="1002"/>
        </w:numPr>
      </w:pPr>
      <w:r>
        <w:t xml:space="preserve">Personnel / HR controls</w:t>
      </w:r>
    </w:p>
    <w:p>
      <w:pPr>
        <w:pStyle w:val="Compact"/>
        <w:numPr>
          <w:ilvl w:val="0"/>
          <w:numId w:val="1002"/>
        </w:numPr>
      </w:pPr>
      <w:r>
        <w:t xml:space="preserve">Physical Security (including prototype physical handling)</w:t>
      </w:r>
    </w:p>
    <w:p>
      <w:pPr>
        <w:pStyle w:val="Compact"/>
        <w:numPr>
          <w:ilvl w:val="0"/>
          <w:numId w:val="1002"/>
        </w:numPr>
      </w:pPr>
      <w:r>
        <w:t xml:space="preserve">System Acquisition, Development, Maintenance (code-level controls)</w:t>
      </w:r>
    </w:p>
    <w:p>
      <w:pPr>
        <w:pStyle w:val="Compact"/>
        <w:numPr>
          <w:ilvl w:val="0"/>
          <w:numId w:val="1002"/>
        </w:numPr>
      </w:pPr>
      <w:r>
        <w:t xml:space="preserve">Cryptography (CSW detects plaintext flows but does not enforce encryption)</w:t>
      </w:r>
    </w:p>
    <w:p>
      <w:pPr>
        <w:pStyle w:val="Compact"/>
        <w:numPr>
          <w:ilvl w:val="0"/>
          <w:numId w:val="1002"/>
        </w:numPr>
      </w:pPr>
      <w:r>
        <w:t xml:space="preserve">Portability and Interoperability</w:t>
      </w:r>
    </w:p>
    <w:bookmarkEnd w:id="15"/>
    <w:bookmarkStart w:id="16" w:name="framework-topic-csw-capability-map"/>
    <w:p>
      <w:pPr>
        <w:pStyle w:val="Heading2"/>
      </w:pPr>
      <w:r>
        <w:t xml:space="preserve">Framework Topic → CSW Capability Map</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Framework topic</w:t>
            </w:r>
          </w:p>
        </w:tc>
        <w:tc>
          <w:tcPr/>
          <w:p>
            <w:pPr>
              <w:pStyle w:val="Compact"/>
            </w:pPr>
            <w:r>
              <w:t xml:space="preserve">CSW capability</w:t>
            </w:r>
          </w:p>
        </w:tc>
        <w:tc>
          <w:tcPr/>
          <w:p>
            <w:pPr>
              <w:pStyle w:val="Compact"/>
            </w:pPr>
            <w:r>
              <w:t xml:space="preserve">Evidence artifact</w:t>
            </w:r>
          </w:p>
        </w:tc>
      </w:tr>
      <w:tr>
        <w:tc>
          <w:tcPr/>
          <w:p>
            <w:pPr>
              <w:pStyle w:val="Compact"/>
            </w:pPr>
            <w:r>
              <w:t xml:space="preserve">Asset Management</w:t>
            </w:r>
          </w:p>
        </w:tc>
        <w:tc>
          <w:tcPr/>
          <w:p>
            <w:pPr>
              <w:pStyle w:val="Compact"/>
            </w:pPr>
            <w:r>
              <w:t xml:space="preserve">Workload inventory; scope + label export</w:t>
            </w:r>
          </w:p>
        </w:tc>
        <w:tc>
          <w:tcPr/>
          <w:p>
            <w:pPr>
              <w:pStyle w:val="Compact"/>
            </w:pPr>
            <w:r>
              <w:t xml:space="preserve">Inventory and classification evidence at workload layer</w:t>
            </w:r>
          </w:p>
        </w:tc>
      </w:tr>
      <w:tr>
        <w:tc>
          <w:tcPr/>
          <w:p>
            <w:pPr>
              <w:pStyle w:val="Compact"/>
            </w:pPr>
            <w:r>
              <w:t xml:space="preserve">Communication Security</w:t>
            </w:r>
          </w:p>
        </w:tc>
        <w:tc>
          <w:tcPr/>
          <w:p>
            <w:pPr>
              <w:pStyle w:val="Compact"/>
            </w:pPr>
            <w:r>
              <w:t xml:space="preserve">Policy workspace; ADM-derived allowlist; observed flows</w:t>
            </w:r>
          </w:p>
        </w:tc>
        <w:tc>
          <w:tcPr/>
          <w:p>
            <w:pPr>
              <w:pStyle w:val="Compact"/>
            </w:pPr>
            <w:r>
              <w:t xml:space="preserve">Segmentation evidence (workspace snapshot + observed-vs-approved flow comparison)</w:t>
            </w:r>
          </w:p>
        </w:tc>
      </w:tr>
      <w:tr>
        <w:tc>
          <w:tcPr/>
          <w:p>
            <w:pPr>
              <w:pStyle w:val="Compact"/>
            </w:pPr>
            <w:r>
              <w:t xml:space="preserve">Operations Security</w:t>
            </w:r>
          </w:p>
        </w:tc>
        <w:tc>
          <w:tcPr/>
          <w:p>
            <w:pPr>
              <w:pStyle w:val="Compact"/>
            </w:pPr>
            <w:r>
              <w:t xml:space="preserve">Continuous monitoring; vulnerability + reachability; configuration baseline on policy</w:t>
            </w:r>
          </w:p>
        </w:tc>
        <w:tc>
          <w:tcPr/>
          <w:p>
            <w:pPr>
              <w:pStyle w:val="Compact"/>
            </w:pPr>
            <w:r>
              <w:t xml:space="preserve">Operations control evidence</w:t>
            </w:r>
          </w:p>
        </w:tc>
      </w:tr>
      <w:tr>
        <w:tc>
          <w:tcPr/>
          <w:p>
            <w:pPr>
              <w:pStyle w:val="Compact"/>
            </w:pPr>
            <w:r>
              <w:t xml:space="preserve">Identity and Access Management (workload-to-workload)</w:t>
            </w:r>
          </w:p>
        </w:tc>
        <w:tc>
          <w:tcPr/>
          <w:p>
            <w:pPr>
              <w:pStyle w:val="Compact"/>
            </w:pPr>
            <w:r>
              <w:t xml:space="preserve">Policy workspace + enforcement / violation log</w:t>
            </w:r>
          </w:p>
        </w:tc>
        <w:tc>
          <w:tcPr/>
          <w:p>
            <w:pPr>
              <w:pStyle w:val="Compact"/>
            </w:pPr>
            <w:r>
              <w:t xml:space="preserve">Workload-to-workload privilege evidence (complements identity layer)</w:t>
            </w:r>
          </w:p>
        </w:tc>
      </w:tr>
      <w:tr>
        <w:tc>
          <w:tcPr/>
          <w:p>
            <w:pPr>
              <w:pStyle w:val="Compact"/>
            </w:pPr>
            <w:r>
              <w:t xml:space="preserve">Cryptography (detection)</w:t>
            </w:r>
          </w:p>
        </w:tc>
        <w:tc>
          <w:tcPr/>
          <w:p>
            <w:pPr>
              <w:pStyle w:val="Compact"/>
            </w:pPr>
            <w:r>
              <w:t xml:space="preserve">Plaintext-flow detection on regulated paths</w:t>
            </w:r>
          </w:p>
        </w:tc>
        <w:tc>
          <w:tcPr/>
          <w:p>
            <w:pPr>
              <w:pStyle w:val="Compact"/>
            </w:pPr>
            <w:r>
              <w:t xml:space="preserve">Detection input only</w:t>
            </w:r>
          </w:p>
        </w:tc>
      </w:tr>
      <w:tr>
        <w:tc>
          <w:tcPr/>
          <w:p>
            <w:pPr>
              <w:pStyle w:val="Compact"/>
            </w:pPr>
            <w:r>
              <w:t xml:space="preserve">Supplier Relationships</w:t>
            </w:r>
          </w:p>
        </w:tc>
        <w:tc>
          <w:tcPr/>
          <w:p>
            <w:pPr>
              <w:pStyle w:val="Compact"/>
            </w:pPr>
            <w:r>
              <w:t xml:space="preserve">Outbound flow summary to supplier endpoints</w:t>
            </w:r>
          </w:p>
        </w:tc>
        <w:tc>
          <w:tcPr/>
          <w:p>
            <w:pPr>
              <w:pStyle w:val="Compact"/>
            </w:pPr>
            <w:r>
              <w:t xml:space="preserve">Supplier-edge flow report reconciled against supplier register</w:t>
            </w:r>
          </w:p>
        </w:tc>
      </w:tr>
      <w:tr>
        <w:tc>
          <w:tcPr/>
          <w:p>
            <w:pPr>
              <w:pStyle w:val="Compact"/>
            </w:pPr>
            <w:r>
              <w:t xml:space="preserve">Incident Management</w:t>
            </w:r>
          </w:p>
        </w:tc>
        <w:tc>
          <w:tcPr/>
          <w:p>
            <w:pPr>
              <w:pStyle w:val="Compact"/>
            </w:pPr>
            <w:r>
              <w:t xml:space="preserve">Forensic flow + process telemetry</w:t>
            </w:r>
          </w:p>
        </w:tc>
        <w:tc>
          <w:tcPr/>
          <w:p>
            <w:pPr>
              <w:pStyle w:val="Compact"/>
            </w:pPr>
            <w:r>
              <w:t xml:space="preserve">Investigation pack with timeline and impact scope</w:t>
            </w:r>
          </w:p>
        </w:tc>
      </w:tr>
      <w:tr>
        <w:tc>
          <w:tcPr/>
          <w:p>
            <w:pPr>
              <w:pStyle w:val="Compact"/>
            </w:pPr>
            <w:r>
              <w:t xml:space="preserve">Prototype Protection (if in scope)</w:t>
            </w:r>
          </w:p>
        </w:tc>
        <w:tc>
          <w:tcPr/>
          <w:p>
            <w:pPr>
              <w:pStyle w:val="Compact"/>
            </w:pPr>
            <w:r>
              <w:t xml:space="preserve">Isolation evidence for the Prototype-Protection scope</w:t>
            </w:r>
          </w:p>
        </w:tc>
        <w:tc>
          <w:tcPr/>
          <w:p>
            <w:pPr>
              <w:pStyle w:val="Compact"/>
            </w:pPr>
            <w:r>
              <w:t xml:space="preserve">Inbound/outbound reachability summary for prototype workloads</w:t>
            </w:r>
          </w:p>
        </w:tc>
      </w:tr>
      <w:tr>
        <w:tc>
          <w:tcPr/>
          <w:p>
            <w:pPr>
              <w:pStyle w:val="Compact"/>
            </w:pPr>
            <w:r>
              <w:t xml:space="preserve">Data Protection (if in scope)</w:t>
            </w:r>
          </w:p>
        </w:tc>
        <w:tc>
          <w:tcPr/>
          <w:p>
            <w:pPr>
              <w:pStyle w:val="Compact"/>
            </w:pPr>
            <w:r>
              <w:t xml:space="preserve">Isolation evidence for the Personal-Data scope</w:t>
            </w:r>
          </w:p>
        </w:tc>
        <w:tc>
          <w:tcPr/>
          <w:p>
            <w:pPr>
              <w:pStyle w:val="Compact"/>
            </w:pPr>
            <w:r>
              <w:t xml:space="preserve">Inbound/outbound reachability summary for personal-data workloads</w:t>
            </w:r>
          </w:p>
        </w:tc>
      </w:tr>
    </w:tbl>
    <w:bookmarkEnd w:id="16"/>
    <w:bookmarkStart w:id="17" w:name="evidence-collection-approach"/>
    <w:p>
      <w:pPr>
        <w:pStyle w:val="Heading2"/>
      </w:pPr>
      <w:r>
        <w:t xml:space="preserve">Evidence Collection Approach</w:t>
      </w:r>
    </w:p>
    <w:p>
      <w:pPr>
        <w:pStyle w:val="FirstParagraph"/>
      </w:pPr>
      <w:r>
        <w:t xml:space="preserve">The table below describes per-topic evidence collection - what to collect, the CSW source area, and a suggested cadence. The cadence should be tuned to the customer’s audit cycle, regulatory cadence, and risk appetite.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Topic</w:t>
            </w:r>
          </w:p>
        </w:tc>
        <w:tc>
          <w:tcPr/>
          <w:p>
            <w:pPr>
              <w:pStyle w:val="Compact"/>
            </w:pPr>
            <w:r>
              <w:t xml:space="preserve">What to collect</w:t>
            </w:r>
          </w:p>
        </w:tc>
        <w:tc>
          <w:tcPr/>
          <w:p>
            <w:pPr>
              <w:pStyle w:val="Compact"/>
            </w:pPr>
            <w:r>
              <w:t xml:space="preserve">CSW source</w:t>
            </w:r>
          </w:p>
        </w:tc>
        <w:tc>
          <w:tcPr/>
          <w:p>
            <w:pPr>
              <w:pStyle w:val="Compact"/>
            </w:pPr>
            <w:r>
              <w:t xml:space="preserve">Suggested cadence</w:t>
            </w:r>
          </w:p>
        </w:tc>
      </w:tr>
      <w:tr>
        <w:tc>
          <w:tcPr/>
          <w:p>
            <w:pPr>
              <w:pStyle w:val="Compact"/>
            </w:pPr>
            <w:r>
              <w:t xml:space="preserve">Information asset and prototype/data scope mapping</w:t>
            </w:r>
          </w:p>
        </w:tc>
        <w:tc>
          <w:tcPr/>
          <w:p>
            <w:pPr>
              <w:pStyle w:val="Compact"/>
            </w:pPr>
            <w:r>
              <w:t xml:space="preserve">Workloads in the assessment scope by label</w:t>
            </w:r>
          </w:p>
        </w:tc>
        <w:tc>
          <w:tcPr/>
          <w:p>
            <w:pPr>
              <w:pStyle w:val="Compact"/>
            </w:pPr>
            <w:r>
              <w:t xml:space="preserve">Inventory + scope membership export filtered by assessment_objective, prototype, data_class</w:t>
            </w:r>
          </w:p>
        </w:tc>
        <w:tc>
          <w:tcPr/>
          <w:p>
            <w:pPr>
              <w:pStyle w:val="Compact"/>
            </w:pPr>
            <w:r>
              <w:t xml:space="preserve">Monthly</w:t>
            </w:r>
          </w:p>
        </w:tc>
      </w:tr>
      <w:tr>
        <w:tc>
          <w:tcPr/>
          <w:p>
            <w:pPr>
              <w:pStyle w:val="Compact"/>
            </w:pPr>
            <w:r>
              <w:t xml:space="preserve">Segmentation evidence</w:t>
            </w:r>
          </w:p>
        </w:tc>
        <w:tc>
          <w:tcPr/>
          <w:p>
            <w:pPr>
              <w:pStyle w:val="Compact"/>
            </w:pPr>
            <w:r>
              <w:t xml:space="preserve">Workspace snapshot and ADM-derived allowlist</w:t>
            </w:r>
          </w:p>
        </w:tc>
        <w:tc>
          <w:tcPr/>
          <w:p>
            <w:pPr>
              <w:pStyle w:val="Compact"/>
            </w:pPr>
            <w:r>
              <w:t xml:space="preserve">Policy workspace export + ADM export</w:t>
            </w:r>
          </w:p>
        </w:tc>
        <w:tc>
          <w:tcPr/>
          <w:p>
            <w:pPr>
              <w:pStyle w:val="Compact"/>
            </w:pPr>
            <w:r>
              <w:t xml:space="preserve">Quarterly + after each change</w:t>
            </w:r>
          </w:p>
        </w:tc>
      </w:tr>
      <w:tr>
        <w:tc>
          <w:tcPr/>
          <w:p>
            <w:pPr>
              <w:pStyle w:val="Compact"/>
            </w:pPr>
            <w:r>
              <w:t xml:space="preserve">Supplier egress reconciliation</w:t>
            </w:r>
          </w:p>
        </w:tc>
        <w:tc>
          <w:tcPr/>
          <w:p>
            <w:pPr>
              <w:pStyle w:val="Compact"/>
            </w:pPr>
            <w:r>
              <w:t xml:space="preserve">Outbound flow to supplier endpoints</w:t>
            </w:r>
          </w:p>
        </w:tc>
        <w:tc>
          <w:tcPr/>
          <w:p>
            <w:pPr>
              <w:pStyle w:val="Compact"/>
            </w:pPr>
            <w:r>
              <w:t xml:space="preserve">Flow search filtered to supplier endpoints</w:t>
            </w:r>
          </w:p>
        </w:tc>
        <w:tc>
          <w:tcPr/>
          <w:p>
            <w:pPr>
              <w:pStyle w:val="Compact"/>
            </w:pPr>
            <w:r>
              <w:t xml:space="preserve">Monthly</w:t>
            </w:r>
          </w:p>
        </w:tc>
      </w:tr>
      <w:tr>
        <w:tc>
          <w:tcPr/>
          <w:p>
            <w:pPr>
              <w:pStyle w:val="Compact"/>
            </w:pPr>
            <w:r>
              <w:t xml:space="preserve">Operations evidence</w:t>
            </w:r>
          </w:p>
        </w:tc>
        <w:tc>
          <w:tcPr/>
          <w:p>
            <w:pPr>
              <w:pStyle w:val="Compact"/>
            </w:pPr>
            <w:r>
              <w:t xml:space="preserve">Continuous monitoring and vulnerability data</w:t>
            </w:r>
          </w:p>
        </w:tc>
        <w:tc>
          <w:tcPr/>
          <w:p>
            <w:pPr>
              <w:pStyle w:val="Compact"/>
            </w:pPr>
            <w:r>
              <w:t xml:space="preserve">Vulnerability report + alert log scoped to TISAX</w:t>
            </w:r>
          </w:p>
        </w:tc>
        <w:tc>
          <w:tcPr/>
          <w:p>
            <w:pPr>
              <w:pStyle w:val="Compact"/>
            </w:pPr>
            <w:r>
              <w:t xml:space="preserve">Monthly</w:t>
            </w:r>
          </w:p>
        </w:tc>
      </w:tr>
      <w:tr>
        <w:tc>
          <w:tcPr/>
          <w:p>
            <w:pPr>
              <w:pStyle w:val="Compact"/>
            </w:pPr>
            <w:r>
              <w:t xml:space="preserve">Prototype-Protection isolation (if in scope)</w:t>
            </w:r>
          </w:p>
        </w:tc>
        <w:tc>
          <w:tcPr/>
          <w:p>
            <w:pPr>
              <w:pStyle w:val="Compact"/>
            </w:pPr>
            <w:r>
              <w:t xml:space="preserve">Reachability into the prototype scope</w:t>
            </w:r>
          </w:p>
        </w:tc>
        <w:tc>
          <w:tcPr/>
          <w:p>
            <w:pPr>
              <w:pStyle w:val="Compact"/>
            </w:pPr>
            <w:r>
              <w:t xml:space="preserve">Reach summary for the Prototype-Protection scope</w:t>
            </w:r>
          </w:p>
        </w:tc>
        <w:tc>
          <w:tcPr/>
          <w:p>
            <w:pPr>
              <w:pStyle w:val="Compact"/>
            </w:pPr>
            <w:r>
              <w:t xml:space="preserve">Quarterly</w:t>
            </w:r>
          </w:p>
        </w:tc>
      </w:tr>
      <w:tr>
        <w:tc>
          <w:tcPr/>
          <w:p>
            <w:pPr>
              <w:pStyle w:val="Compact"/>
            </w:pPr>
            <w:r>
              <w:t xml:space="preserve">Data-Protection isolation (if in scope)</w:t>
            </w:r>
          </w:p>
        </w:tc>
        <w:tc>
          <w:tcPr/>
          <w:p>
            <w:pPr>
              <w:pStyle w:val="Compact"/>
            </w:pPr>
            <w:r>
              <w:t xml:space="preserve">Reachability into the personal-data scope</w:t>
            </w:r>
          </w:p>
        </w:tc>
        <w:tc>
          <w:tcPr/>
          <w:p>
            <w:pPr>
              <w:pStyle w:val="Compact"/>
            </w:pPr>
            <w:r>
              <w:t xml:space="preserve">Reach summary for the Data-Protection scope</w:t>
            </w:r>
          </w:p>
        </w:tc>
        <w:tc>
          <w:tcPr/>
          <w:p>
            <w:pPr>
              <w:pStyle w:val="Compact"/>
            </w:pPr>
            <w:r>
              <w:t xml:space="preserve">Quarterly</w:t>
            </w:r>
          </w:p>
        </w:tc>
      </w:tr>
      <w:tr>
        <w:tc>
          <w:tcPr/>
          <w:p>
            <w:pPr>
              <w:pStyle w:val="Compact"/>
            </w:pPr>
            <w:r>
              <w:t xml:space="preserve">Incident sample</w:t>
            </w:r>
          </w:p>
        </w:tc>
        <w:tc>
          <w:tcPr/>
          <w:p>
            <w:pPr>
              <w:pStyle w:val="Compact"/>
            </w:pPr>
            <w:r>
              <w:t xml:space="preserve">One representative incident timeline</w:t>
            </w:r>
          </w:p>
        </w:tc>
        <w:tc>
          <w:tcPr/>
          <w:p>
            <w:pPr>
              <w:pStyle w:val="Compact"/>
            </w:pPr>
            <w:r>
              <w:t xml:space="preserve">Flow + process search</w:t>
            </w:r>
          </w:p>
        </w:tc>
        <w:tc>
          <w:tcPr/>
          <w:p>
            <w:pPr>
              <w:pStyle w:val="Compact"/>
            </w:pPr>
            <w:r>
              <w:t xml:space="preserve">Per incident; one representative sample per surveillance cycle</w:t>
            </w:r>
          </w:p>
        </w:tc>
      </w:tr>
    </w:tbl>
    <w:bookmarkEnd w:id="17"/>
    <w:bookmarkStart w:id="18" w:name="pov-workshop-approach"/>
    <w:p>
      <w:pPr>
        <w:pStyle w:val="Heading2"/>
      </w:pPr>
      <w:r>
        <w:t xml:space="preserve">POV / Workshop Approach</w:t>
      </w:r>
    </w:p>
    <w:p>
      <w:pPr>
        <w:pStyle w:val="Compact"/>
        <w:numPr>
          <w:ilvl w:val="0"/>
          <w:numId w:val="1003"/>
        </w:numPr>
      </w:pPr>
      <w:r>
        <w:t xml:space="preserve">Confirm the framework version and assessment cycle with the customer’s compliance team.</w:t>
      </w:r>
    </w:p>
    <w:p>
      <w:pPr>
        <w:pStyle w:val="Compact"/>
        <w:numPr>
          <w:ilvl w:val="0"/>
          <w:numId w:val="1003"/>
        </w:numPr>
      </w:pPr>
      <w:r>
        <w:t xml:space="preserve">Select one business service, regulated boundary, or critical workload group to start with; do not attempt to instrument the entire estate in the POV.</w:t>
      </w:r>
    </w:p>
    <w:p>
      <w:pPr>
        <w:pStyle w:val="Compact"/>
        <w:numPr>
          <w:ilvl w:val="0"/>
          <w:numId w:val="1003"/>
        </w:numPr>
      </w:pPr>
      <w:r>
        <w:t xml:space="preserve">Validate workload coverage and install sensors or configure supported connectors. Document the cannot-instrument register; this is itself evidence.</w:t>
      </w:r>
    </w:p>
    <w:p>
      <w:pPr>
        <w:pStyle w:val="Compact"/>
        <w:numPr>
          <w:ilvl w:val="0"/>
          <w:numId w:val="1003"/>
        </w:numPr>
      </w:pPr>
      <w:r>
        <w:t xml:space="preserve">Apply labels for application, environment, owner, data class, criticality, compliance scope, and any framework-specific tags (e.g. </w:t>
      </w:r>
      <w:r>
        <w:rPr>
          <w:rStyle w:val="VerbatimChar"/>
        </w:rPr>
        <w:t xml:space="preserve">tenant</w:t>
      </w:r>
      <w:r>
        <w:t xml:space="preserve">,</w:t>
      </w:r>
      <w:r>
        <w:t xml:space="preserve"> </w:t>
      </w:r>
      <w:r>
        <w:rPr>
          <w:rStyle w:val="VerbatimChar"/>
        </w:rPr>
        <w:t xml:space="preserve">prototype</w:t>
      </w:r>
      <w:r>
        <w:t xml:space="preserve">,</w:t>
      </w:r>
      <w:r>
        <w:t xml:space="preserve"> </w:t>
      </w:r>
      <w:r>
        <w:rPr>
          <w:rStyle w:val="VerbatimChar"/>
        </w:rPr>
        <w:t xml:space="preserve">isa_level</w:t>
      </w:r>
      <w:r>
        <w:t xml:space="preserve">,</w:t>
      </w:r>
      <w:r>
        <w:t xml:space="preserve"> </w:t>
      </w:r>
      <w:r>
        <w:rPr>
          <w:rStyle w:val="VerbatimChar"/>
        </w:rPr>
        <w:t xml:space="preserve">npi</w:t>
      </w:r>
      <w:r>
        <w:t xml:space="preserve">,</w:t>
      </w:r>
      <w:r>
        <w:t xml:space="preserve"> </w:t>
      </w:r>
      <w:r>
        <w:rPr>
          <w:rStyle w:val="VerbatimChar"/>
        </w:rPr>
        <w:t xml:space="preserve">cui</w:t>
      </w:r>
      <w:r>
        <w:t xml:space="preserve">,</w:t>
      </w:r>
      <w:r>
        <w:t xml:space="preserve"> </w:t>
      </w:r>
      <w:r>
        <w:rPr>
          <w:rStyle w:val="VerbatimChar"/>
        </w:rPr>
        <w:t xml:space="preserve">ephi</w:t>
      </w:r>
      <w:r>
        <w:t xml:space="preserve">).</w:t>
      </w:r>
    </w:p>
    <w:p>
      <w:pPr>
        <w:pStyle w:val="Compact"/>
        <w:numPr>
          <w:ilvl w:val="0"/>
          <w:numId w:val="1003"/>
        </w:numPr>
      </w:pPr>
      <w:r>
        <w:t xml:space="preserve">Observe flows over a representative business window. Minimum two weeks; longer if the customer has month-end, quarterly, or seasonal cycles relevant to the scope.</w:t>
      </w:r>
    </w:p>
    <w:p>
      <w:pPr>
        <w:pStyle w:val="Compact"/>
        <w:numPr>
          <w:ilvl w:val="0"/>
          <w:numId w:val="1003"/>
        </w:numPr>
      </w:pPr>
      <w:r>
        <w:t xml:space="preserve">Use ADM to generate a candidate policy. Review with the application owner. Run in Simulation mode for at least two weeks before any enforcement.</w:t>
      </w:r>
    </w:p>
    <w:p>
      <w:pPr>
        <w:pStyle w:val="Compact"/>
        <w:numPr>
          <w:ilvl w:val="0"/>
          <w:numId w:val="1003"/>
        </w:numPr>
      </w:pPr>
      <w:r>
        <w:t xml:space="preserve">Package inventory, scope, flows, policy, exceptions, and known gaps as the evidence output. Cross-reference this report’s evidence collection table with the customer’s existing audit work-papers.</w:t>
      </w:r>
    </w:p>
    <w:bookmarkEnd w:id="18"/>
    <w:bookmarkStart w:id="19" w:name="boundaries-and-complementary-controls"/>
    <w:p>
      <w:pPr>
        <w:pStyle w:val="Heading2"/>
      </w:pPr>
      <w:r>
        <w:t xml:space="preserve">Boundaries and Complementary Controls</w:t>
      </w:r>
    </w:p>
    <w:p>
      <w:pPr>
        <w:pStyle w:val="FirstParagraph"/>
      </w:pPr>
      <w:r>
        <w:t xml:space="preserve">CSW does not replace organisational policy, training, supplier assurance contracts, physical security and prototype physical handling, identity lifecycle, cryptography assurance, or the TISAX assessment itself.</w:t>
      </w:r>
    </w:p>
    <w:bookmarkEnd w:id="19"/>
    <w:bookmarkStart w:id="20" w:name="assessor-auditor-caveat"/>
    <w:p>
      <w:pPr>
        <w:pStyle w:val="Heading2"/>
      </w:pPr>
      <w:r>
        <w:t xml:space="preserve">Assessor / Auditor Caveat</w:t>
      </w:r>
    </w:p>
    <w:p>
      <w:pPr>
        <w:pStyle w:val="FirstParagraph"/>
      </w:pPr>
      <w:r>
        <w:t xml:space="preserve">CSW provides technical evidence inputs. The customer’s qualified assessor, auditor, certifying body, or regulator determines compliance status. Validate all framework-topic mappings, control IDs, paragraph references, and section numbers in this report against the current official framework text. If the customer is being assessed against a version other than the one referenced in the framework version note above, revalidate before use.</w:t>
      </w:r>
    </w:p>
    <w:bookmarkEnd w:id="20"/>
    <w:bookmarkStart w:id="21" w:name="disclaimer"/>
    <w:p>
      <w:pPr>
        <w:pStyle w:val="Heading2"/>
      </w:pPr>
      <w:r>
        <w:t xml:space="preserve">Disclaimer</w:t>
      </w:r>
    </w:p>
    <w:p>
      <w:pPr>
        <w:pStyle w:val="FirstParagraph"/>
      </w:pPr>
      <w:r>
        <w:t xml:space="preserve">This report is for informational and planning purposes. It is not legal, regulatory, audit, or certification advice. Validate all mappings against the current official framework text, the customer’s environment, and qualified compliance, legal, and audit professionals.</w:t>
      </w:r>
    </w:p>
    <w:bookmarkEnd w:id="21"/>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Cisco Secure Workload - TISAX / VDA ISA Compliance Report</dc:title>
  <dc:creator/>
  <cp:keywords/>
  <dcterms:created xsi:type="dcterms:W3CDTF">2026-05-13T18:07:55Z</dcterms:created>
  <dcterms:modified xsi:type="dcterms:W3CDTF">2026-05-13T18:07:55Z</dcterms:modified>
</cp:coreProperties>
</file>

<file path=docProps/custom.xml><?xml version="1.0" encoding="utf-8"?>
<Properties xmlns="http://schemas.openxmlformats.org/officeDocument/2006/custom-properties" xmlns:vt="http://schemas.openxmlformats.org/officeDocument/2006/docPropsVTypes"/>
</file>