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UK Cyber Essentials Plus Compliance Report</w:t>
      </w:r>
    </w:p>
    <w:bookmarkStart w:id="22" w:name="Xed211cdcf52d37d55ce6f6cd7b7e2aa8011d82a"/>
    <w:p>
      <w:pPr>
        <w:pStyle w:val="Heading1"/>
      </w:pPr>
      <w:r>
        <w:t xml:space="preserve">Cisco Secure Workload - UK Cyber Essentials Plus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UK NCSC Cyber Essentials Plus</w:t>
      </w:r>
      <w:r>
        <w:br/>
      </w:r>
      <w:r>
        <w:rPr>
          <w:b/>
          <w:bCs/>
        </w:rPr>
        <w:t xml:space="preserve">Primary audience:</w:t>
      </w:r>
      <w:r>
        <w:t xml:space="preserve"> </w:t>
      </w:r>
      <w:r>
        <w:t xml:space="preserve">UK organisations preparing for Cyber Essentials or Cyber Essentials Plus certification.</w:t>
      </w:r>
      <w:r>
        <w:br/>
      </w:r>
      <w:r>
        <w:rPr>
          <w:b/>
          <w:bCs/>
        </w:rPr>
        <w:t xml:space="preserve">CSW positioning:</w:t>
      </w:r>
      <w:r>
        <w:t xml:space="preserve"> </w:t>
      </w:r>
      <w:r>
        <w:t xml:space="preserve">Workload-level firewall evidence (control category 1), secure configuration baseline (category 2), patch / vulnerability prioritisation (category 3 - Security Update Management), and supporting evidence for technical verification (CE+ component).</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Cyber Essentials (CE) and Cyber Essentials Plus (CE+) as operated by IASME on behalf of NCSC. The five control categories are: Firewalls, Secure Configuration, Security Update Management, User Access Control, and Malware Protection. CE / CE+ requirements are updated periodically; validate against the current published requirements document.</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CSW-Cyber-Essentials-Technical-Runbook.md</w:t>
      </w:r>
      <w:r>
        <w:t xml:space="preserve">) in this folder contains the deeper engineering detail.</w:t>
      </w:r>
    </w:p>
    <w:p>
      <w:r>
        <w:pict>
          <v:rect style="width:0;height:1.5pt" o:hralign="center" o:hrstd="t" o:hr="t"/>
        </w:pict>
      </w:r>
    </w:p>
    <w:bookmarkEnd w:id="11"/>
    <w:bookmarkStart w:id="12" w:name="executive-summary"/>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2"/>
    <w:bookmarkStart w:id="13" w:name="suggested-csw-scope-pattern"/>
    <w:p>
      <w:pPr>
        <w:pStyle w:val="Heading2"/>
      </w:pPr>
      <w:r>
        <w:t xml:space="preserve">Suggested CSW Scope Pattern</w:t>
      </w:r>
    </w:p>
    <w:p>
      <w:pPr>
        <w:pStyle w:val="SourceCode"/>
      </w:pPr>
      <w:r>
        <w:rPr>
          <w:rStyle w:val="VerbatimChar"/>
        </w:rPr>
        <w:t xml:space="preserve">UK-Cyber-Essentials</w:t>
      </w:r>
      <w:r>
        <w:br/>
      </w:r>
      <w:r>
        <w:rPr>
          <w:rStyle w:val="VerbatimChar"/>
        </w:rPr>
        <w:t xml:space="preserve">├── Internet-Facing-Systems</w:t>
      </w:r>
      <w:r>
        <w:br/>
      </w:r>
      <w:r>
        <w:rPr>
          <w:rStyle w:val="VerbatimChar"/>
        </w:rPr>
        <w:t xml:space="preserve">├── Workload-Firewall-Scope</w:t>
      </w:r>
      <w:r>
        <w:br/>
      </w:r>
      <w:r>
        <w:rPr>
          <w:rStyle w:val="VerbatimChar"/>
        </w:rPr>
        <w:t xml:space="preserve">├── Secure-Configuration-Baseline</w:t>
      </w:r>
      <w:r>
        <w:br/>
      </w:r>
      <w:r>
        <w:rPr>
          <w:rStyle w:val="VerbatimChar"/>
        </w:rPr>
        <w:t xml:space="preserve">├── Patch-Evidence-Scope</w:t>
      </w:r>
      <w:r>
        <w:br/>
      </w:r>
      <w:r>
        <w:rPr>
          <w:rStyle w:val="VerbatimChar"/>
        </w:rPr>
        <w:t xml:space="preserve">└── Verification-Sample</w:t>
      </w:r>
    </w:p>
    <w:p>
      <w:pPr>
        <w:pStyle w:val="FirstParagraph"/>
      </w:pPr>
      <w:r>
        <w:t xml:space="preserve">This scope pattern should be validated with the customer’s architecture, application owners, compliance team, and assessor before it is used for formal evidence.</w:t>
      </w:r>
    </w:p>
    <w:bookmarkEnd w:id="13"/>
    <w:bookmarkStart w:id="14" w:name="in-scope-for-csw-evidence"/>
    <w:p>
      <w:pPr>
        <w:pStyle w:val="Heading2"/>
      </w:pPr>
      <w:r>
        <w:t xml:space="preserve">In Scope for CSW Evidence</w:t>
      </w:r>
    </w:p>
    <w:p>
      <w:pPr>
        <w:pStyle w:val="Compact"/>
        <w:numPr>
          <w:ilvl w:val="0"/>
          <w:numId w:val="1001"/>
        </w:numPr>
      </w:pPr>
      <w:r>
        <w:t xml:space="preserve">Category 1 - Firewalls (workload-level allowlist and default-deny)</w:t>
      </w:r>
    </w:p>
    <w:p>
      <w:pPr>
        <w:pStyle w:val="Compact"/>
        <w:numPr>
          <w:ilvl w:val="0"/>
          <w:numId w:val="1001"/>
        </w:numPr>
      </w:pPr>
      <w:r>
        <w:t xml:space="preserve">Category 2 - Secure Configuration (workspace baseline)</w:t>
      </w:r>
    </w:p>
    <w:p>
      <w:pPr>
        <w:pStyle w:val="Compact"/>
        <w:numPr>
          <w:ilvl w:val="0"/>
          <w:numId w:val="1001"/>
        </w:numPr>
      </w:pPr>
      <w:r>
        <w:t xml:space="preserve">Category 3 - Security Update Management (CVE + reachability)</w:t>
      </w:r>
    </w:p>
    <w:p>
      <w:pPr>
        <w:pStyle w:val="Compact"/>
        <w:numPr>
          <w:ilvl w:val="0"/>
          <w:numId w:val="1001"/>
        </w:numPr>
      </w:pPr>
      <w:r>
        <w:t xml:space="preserve">Technical Verification (CE+) - workload sample selection support</w:t>
      </w:r>
    </w:p>
    <w:bookmarkEnd w:id="14"/>
    <w:bookmarkStart w:id="15" w:name="Xaed999129ed4b1f11f99b5af2968248bad86dd6"/>
    <w:p>
      <w:pPr>
        <w:pStyle w:val="Heading2"/>
      </w:pPr>
      <w:r>
        <w:t xml:space="preserve">Out of Scope (Must Be Evidenced by Other Controls / Tools / Processes)</w:t>
      </w:r>
    </w:p>
    <w:p>
      <w:pPr>
        <w:pStyle w:val="Compact"/>
        <w:numPr>
          <w:ilvl w:val="0"/>
          <w:numId w:val="1002"/>
        </w:numPr>
      </w:pPr>
      <w:r>
        <w:t xml:space="preserve">Category 4 - User Access Control (identity layer)</w:t>
      </w:r>
    </w:p>
    <w:p>
      <w:pPr>
        <w:pStyle w:val="Compact"/>
        <w:numPr>
          <w:ilvl w:val="0"/>
          <w:numId w:val="1002"/>
        </w:numPr>
      </w:pPr>
      <w:r>
        <w:t xml:space="preserve">Category 5 - Malware Protection (endpoint)</w:t>
      </w:r>
    </w:p>
    <w:p>
      <w:pPr>
        <w:pStyle w:val="Compact"/>
        <w:numPr>
          <w:ilvl w:val="0"/>
          <w:numId w:val="1002"/>
        </w:numPr>
      </w:pPr>
      <w:r>
        <w:t xml:space="preserve">Cyber Essentials questionnaire submission</w:t>
      </w:r>
    </w:p>
    <w:p>
      <w:pPr>
        <w:pStyle w:val="Compact"/>
        <w:numPr>
          <w:ilvl w:val="0"/>
          <w:numId w:val="1002"/>
        </w:numPr>
      </w:pPr>
      <w:r>
        <w:t xml:space="preserve">IASME certification body decisions</w:t>
      </w:r>
    </w:p>
    <w:bookmarkEnd w:id="15"/>
    <w:bookmarkStart w:id="16"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 topic</w:t>
            </w:r>
          </w:p>
        </w:tc>
        <w:tc>
          <w:tcPr/>
          <w:p>
            <w:pPr>
              <w:pStyle w:val="Compact"/>
            </w:pPr>
            <w:r>
              <w:t xml:space="preserve">CSW capability</w:t>
            </w:r>
          </w:p>
        </w:tc>
        <w:tc>
          <w:tcPr/>
          <w:p>
            <w:pPr>
              <w:pStyle w:val="Compact"/>
            </w:pPr>
            <w:r>
              <w:t xml:space="preserve">Evidence artifact</w:t>
            </w:r>
          </w:p>
        </w:tc>
      </w:tr>
      <w:tr>
        <w:tc>
          <w:tcPr/>
          <w:p>
            <w:pPr>
              <w:pStyle w:val="Compact"/>
            </w:pPr>
            <w:r>
              <w:t xml:space="preserve">Category 1 - Firewalls (workload layer)</w:t>
            </w:r>
          </w:p>
        </w:tc>
        <w:tc>
          <w:tcPr/>
          <w:p>
            <w:pPr>
              <w:pStyle w:val="Compact"/>
            </w:pPr>
            <w:r>
              <w:t xml:space="preserve">Policy workspace + default-deny + workload-to-workload allowlist</w:t>
            </w:r>
          </w:p>
        </w:tc>
        <w:tc>
          <w:tcPr/>
          <w:p>
            <w:pPr>
              <w:pStyle w:val="Compact"/>
            </w:pPr>
            <w:r>
              <w:t xml:space="preserve">Workspace snapshot showing firewall posture per workload</w:t>
            </w:r>
          </w:p>
        </w:tc>
      </w:tr>
      <w:tr>
        <w:tc>
          <w:tcPr/>
          <w:p>
            <w:pPr>
              <w:pStyle w:val="Compact"/>
            </w:pPr>
            <w:r>
              <w:t xml:space="preserve">Category 2 - Secure Configuration</w:t>
            </w:r>
          </w:p>
        </w:tc>
        <w:tc>
          <w:tcPr/>
          <w:p>
            <w:pPr>
              <w:pStyle w:val="Compact"/>
            </w:pPr>
            <w:r>
              <w:t xml:space="preserve">Workspace baseline + change log</w:t>
            </w:r>
          </w:p>
        </w:tc>
        <w:tc>
          <w:tcPr/>
          <w:p>
            <w:pPr>
              <w:pStyle w:val="Compact"/>
            </w:pPr>
            <w:r>
              <w:t xml:space="preserve">Baseline policy workspace export + change-controlled exports</w:t>
            </w:r>
          </w:p>
        </w:tc>
      </w:tr>
      <w:tr>
        <w:tc>
          <w:tcPr/>
          <w:p>
            <w:pPr>
              <w:pStyle w:val="Compact"/>
            </w:pPr>
            <w:r>
              <w:t xml:space="preserve">Category 3 - Security Update Management</w:t>
            </w:r>
          </w:p>
        </w:tc>
        <w:tc>
          <w:tcPr/>
          <w:p>
            <w:pPr>
              <w:pStyle w:val="Compact"/>
            </w:pPr>
            <w:r>
              <w:t xml:space="preserve">Reachability-weighted CVE evidence</w:t>
            </w:r>
          </w:p>
        </w:tc>
        <w:tc>
          <w:tcPr/>
          <w:p>
            <w:pPr>
              <w:pStyle w:val="Compact"/>
            </w:pPr>
            <w:r>
              <w:t xml:space="preserve">Prioritised remediation list with patch-due-date evidence</w:t>
            </w:r>
          </w:p>
        </w:tc>
      </w:tr>
      <w:tr>
        <w:tc>
          <w:tcPr/>
          <w:p>
            <w:pPr>
              <w:pStyle w:val="Compact"/>
            </w:pPr>
            <w:r>
              <w:t xml:space="preserve">Technical Verification (CE+) sampling</w:t>
            </w:r>
          </w:p>
        </w:tc>
        <w:tc>
          <w:tcPr/>
          <w:p>
            <w:pPr>
              <w:pStyle w:val="Compact"/>
            </w:pPr>
            <w:r>
              <w:t xml:space="preserve">Workload inventory + reach summary for sampled hosts</w:t>
            </w:r>
          </w:p>
        </w:tc>
        <w:tc>
          <w:tcPr/>
          <w:p>
            <w:pPr>
              <w:pStyle w:val="Compact"/>
            </w:pPr>
            <w:r>
              <w:t xml:space="preserve">Sample-pack export for assessor</w:t>
            </w:r>
          </w:p>
        </w:tc>
      </w:tr>
    </w:tbl>
    <w:bookmarkEnd w:id="16"/>
    <w:bookmarkStart w:id="17"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What to collect</w:t>
            </w:r>
          </w:p>
        </w:tc>
        <w:tc>
          <w:tcPr/>
          <w:p>
            <w:pPr>
              <w:pStyle w:val="Compact"/>
            </w:pPr>
            <w:r>
              <w:t xml:space="preserve">CSW source</w:t>
            </w:r>
          </w:p>
        </w:tc>
        <w:tc>
          <w:tcPr/>
          <w:p>
            <w:pPr>
              <w:pStyle w:val="Compact"/>
            </w:pPr>
            <w:r>
              <w:t xml:space="preserve">Suggested cadence</w:t>
            </w:r>
          </w:p>
        </w:tc>
      </w:tr>
      <w:tr>
        <w:tc>
          <w:tcPr/>
          <w:p>
            <w:pPr>
              <w:pStyle w:val="Compact"/>
            </w:pPr>
            <w:r>
              <w:t xml:space="preserve">Workload inventory</w:t>
            </w:r>
          </w:p>
        </w:tc>
        <w:tc>
          <w:tcPr/>
          <w:p>
            <w:pPr>
              <w:pStyle w:val="Compact"/>
            </w:pPr>
            <w:r>
              <w:t xml:space="preserve">Workloads in CE / CE+ certification scope</w:t>
            </w:r>
          </w:p>
        </w:tc>
        <w:tc>
          <w:tcPr/>
          <w:p>
            <w:pPr>
              <w:pStyle w:val="Compact"/>
            </w:pPr>
            <w:r>
              <w:t xml:space="preserve">Inventory + scope membership export</w:t>
            </w:r>
          </w:p>
        </w:tc>
        <w:tc>
          <w:tcPr/>
          <w:p>
            <w:pPr>
              <w:pStyle w:val="Compact"/>
            </w:pPr>
            <w:r>
              <w:t xml:space="preserve">Monthly</w:t>
            </w:r>
          </w:p>
        </w:tc>
      </w:tr>
      <w:tr>
        <w:tc>
          <w:tcPr/>
          <w:p>
            <w:pPr>
              <w:pStyle w:val="Compact"/>
            </w:pPr>
            <w:r>
              <w:t xml:space="preserve">Firewall posture per workload</w:t>
            </w:r>
          </w:p>
        </w:tc>
        <w:tc>
          <w:tcPr/>
          <w:p>
            <w:pPr>
              <w:pStyle w:val="Compact"/>
            </w:pPr>
            <w:r>
              <w:t xml:space="preserve">Default-deny and allowlist evidence</w:t>
            </w:r>
          </w:p>
        </w:tc>
        <w:tc>
          <w:tcPr/>
          <w:p>
            <w:pPr>
              <w:pStyle w:val="Compact"/>
            </w:pPr>
            <w:r>
              <w:t xml:space="preserve">Policy workspace export</w:t>
            </w:r>
          </w:p>
        </w:tc>
        <w:tc>
          <w:tcPr/>
          <w:p>
            <w:pPr>
              <w:pStyle w:val="Compact"/>
            </w:pPr>
            <w:r>
              <w:t xml:space="preserve">Quarterly + after each change</w:t>
            </w:r>
          </w:p>
        </w:tc>
      </w:tr>
      <w:tr>
        <w:tc>
          <w:tcPr/>
          <w:p>
            <w:pPr>
              <w:pStyle w:val="Compact"/>
            </w:pPr>
            <w:r>
              <w:t xml:space="preserve">Vulnerability + reachability</w:t>
            </w:r>
          </w:p>
        </w:tc>
        <w:tc>
          <w:tcPr/>
          <w:p>
            <w:pPr>
              <w:pStyle w:val="Compact"/>
            </w:pPr>
            <w:r>
              <w:t xml:space="preserve">CVE list weighted by reach across CE scope</w:t>
            </w:r>
          </w:p>
        </w:tc>
        <w:tc>
          <w:tcPr/>
          <w:p>
            <w:pPr>
              <w:pStyle w:val="Compact"/>
            </w:pPr>
            <w:r>
              <w:t xml:space="preserve">Vulnerability report scoped to UK-Cyber-Essentials</w:t>
            </w:r>
          </w:p>
        </w:tc>
        <w:tc>
          <w:tcPr/>
          <w:p>
            <w:pPr>
              <w:pStyle w:val="Compact"/>
            </w:pPr>
            <w:r>
              <w:t xml:space="preserve">Monthly (CE expects 14-day patching for critical/high)</w:t>
            </w:r>
          </w:p>
        </w:tc>
      </w:tr>
      <w:tr>
        <w:tc>
          <w:tcPr/>
          <w:p>
            <w:pPr>
              <w:pStyle w:val="Compact"/>
            </w:pPr>
            <w:r>
              <w:t xml:space="preserve">Verification sample pack</w:t>
            </w:r>
          </w:p>
        </w:tc>
        <w:tc>
          <w:tcPr/>
          <w:p>
            <w:pPr>
              <w:pStyle w:val="Compact"/>
            </w:pPr>
            <w:r>
              <w:t xml:space="preserve">Per-workload posture for assessor-selected sample</w:t>
            </w:r>
          </w:p>
        </w:tc>
        <w:tc>
          <w:tcPr/>
          <w:p>
            <w:pPr>
              <w:pStyle w:val="Compact"/>
            </w:pPr>
            <w:r>
              <w:t xml:space="preserve">Per-workload inventory, policy, and vulnerability extracts</w:t>
            </w:r>
          </w:p>
        </w:tc>
        <w:tc>
          <w:tcPr/>
          <w:p>
            <w:pPr>
              <w:pStyle w:val="Compact"/>
            </w:pPr>
            <w:r>
              <w:t xml:space="preserve">Per certification cycle</w:t>
            </w:r>
          </w:p>
        </w:tc>
      </w:tr>
    </w:tbl>
    <w:bookmarkEnd w:id="17"/>
    <w:bookmarkStart w:id="18"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8"/>
    <w:bookmarkStart w:id="19" w:name="boundaries-and-complementary-controls"/>
    <w:p>
      <w:pPr>
        <w:pStyle w:val="Heading2"/>
      </w:pPr>
      <w:r>
        <w:t xml:space="preserve">Boundaries and Complementary Controls</w:t>
      </w:r>
    </w:p>
    <w:p>
      <w:pPr>
        <w:pStyle w:val="FirstParagraph"/>
      </w:pPr>
      <w:r>
        <w:t xml:space="preserve">CSW does not replace the Cyber Essentials questionnaire submission, endpoint malware protection, user access control / identity governance, unsupported-software governance, the assessor’s CE+ verification testing, or the IASME certification body decision.</w:t>
      </w:r>
    </w:p>
    <w:bookmarkEnd w:id="19"/>
    <w:bookmarkStart w:id="20"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0"/>
    <w:bookmarkStart w:id="21"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UK Cyber Essentials Plus Compliance Report</dc:title>
  <dc:creator/>
  <cp:keywords/>
  <dcterms:created xsi:type="dcterms:W3CDTF">2026-05-13T18:07:58Z</dcterms:created>
  <dcterms:modified xsi:type="dcterms:W3CDTF">2026-05-13T18:07:58Z</dcterms:modified>
</cp:coreProperties>
</file>

<file path=docProps/custom.xml><?xml version="1.0" encoding="utf-8"?>
<Properties xmlns="http://schemas.openxmlformats.org/officeDocument/2006/custom-properties" xmlns:vt="http://schemas.openxmlformats.org/officeDocument/2006/docPropsVTypes"/>
</file>