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46" w:name="X948b4982d14e1ca67913c3c4545ff7893567352"/>
    <w:p>
      <w:pPr>
        <w:pStyle w:val="Heading1"/>
      </w:pPr>
      <w:r>
        <w:t xml:space="preserve">Cisco Secure Workload — NIST 800-53 Rev 5 Compliance Framework</w:t>
      </w:r>
    </w:p>
    <w:bookmarkStart w:id="9" w:name="X07d1b6f4cbd29e20275a8e31922cd917129a0e2"/>
    <w:p>
      <w:pPr>
        <w:pStyle w:val="Heading2"/>
      </w:pPr>
      <w:r>
        <w:t xml:space="preserve">Reference Design | Federal &amp; Enterprise Accounts</w:t>
      </w:r>
    </w:p>
    <w:p>
      <w:pPr>
        <w:pStyle w:val="FirstParagraph"/>
      </w:pPr>
      <w:r>
        <w:rPr>
          <w:b/>
          <w:bCs/>
        </w:rPr>
        <w:t xml:space="preserve">Version:</w:t>
      </w:r>
      <w:r>
        <w:t xml:space="preserve"> </w:t>
      </w:r>
      <w:r>
        <w:t xml:space="preserve">1.0 |</w:t>
      </w:r>
      <w:r>
        <w:t xml:space="preserve"> </w:t>
      </w:r>
      <w:r>
        <w:rPr>
          <w:b/>
          <w:bCs/>
        </w:rPr>
        <w:t xml:space="preserve">Standard:</w:t>
      </w:r>
      <w:r>
        <w:t xml:space="preserve"> </w:t>
      </w:r>
      <w:r>
        <w:t xml:space="preserve">NIST SP 800-53 Rev 5 (CSW-Relevant Control Families)</w:t>
      </w:r>
    </w:p>
    <w:p>
      <w:r>
        <w:pict>
          <v:rect style="width:0;height:1.5pt" o:hralign="center" o:hrstd="t" o:hr="t"/>
        </w:pict>
      </w:r>
    </w:p>
    <w:bookmarkEnd w:id="9"/>
    <w:bookmarkStart w:id="10" w:name="readers-guide"/>
    <w:p>
      <w:pPr>
        <w:pStyle w:val="Heading2"/>
      </w:pPr>
      <w:r>
        <w:t xml:space="preserve">Reader's Guide</w:t>
      </w:r>
    </w:p>
    <w:p>
      <w:pPr>
        <w:pStyle w:val="FirstParagraph"/>
      </w:pPr>
      <w:r>
        <w:rPr>
          <w:b/>
          <w:bCs/>
        </w:rPr>
        <w:t xml:space="preserve">Who this is for.</w:t>
      </w:r>
      <w:r>
        <w:t xml:space="preserve"> </w:t>
      </w:r>
      <w:r>
        <w:t xml:space="preserve">Federal agencies (civilian and DoD), FedRAMP</w:t>
      </w:r>
      <w:r>
        <w:t xml:space="preserve"> </w:t>
      </w:r>
      <w:r>
        <w:t xml:space="preserve">applicants, and enterprises that have adopted 800-53 as a security</w:t>
      </w:r>
      <w:r>
        <w:t xml:space="preserve"> </w:t>
      </w:r>
      <w:r>
        <w:t xml:space="preserve">overlay, plus the assessors supporting them.</w:t>
      </w:r>
    </w:p>
    <w:p>
      <w:pPr>
        <w:pStyle w:val="BodyText"/>
      </w:pPr>
      <w:r>
        <w:rPr>
          <w:b/>
          <w:bCs/>
        </w:rPr>
        <w:t xml:space="preserve">Questions this reference design helps you answer: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For my system's impact level (LOW / MODERATE / HIGH), which AC, AU,</w:t>
      </w:r>
      <w:r>
        <w:rPr>
          <w:i/>
          <w:iCs/>
        </w:rPr>
        <w:t xml:space="preserve"> </w:t>
      </w:r>
      <w:r>
        <w:rPr>
          <w:i/>
          <w:iCs/>
        </w:rPr>
        <w:t xml:space="preserve">CM, and SC controls become continuous monitoring rather than</w:t>
      </w:r>
      <w:r>
        <w:rPr>
          <w:i/>
          <w:iCs/>
        </w:rPr>
        <w:t xml:space="preserve"> </w:t>
      </w:r>
      <w:r>
        <w:rPr>
          <w:i/>
          <w:iCs/>
        </w:rPr>
        <w:t xml:space="preserve">periodic-assessment items?</w:t>
      </w:r>
      <w:r>
        <w:t xml:space="preserve"> </w:t>
      </w:r>
      <w:r>
        <w:t xml:space="preserve">(CA-7)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Can my POA&amp;M be partially burned down through automated CSW</w:t>
      </w:r>
      <w:r>
        <w:rPr>
          <w:i/>
          <w:iCs/>
        </w:rPr>
        <w:t xml:space="preserve"> </w:t>
      </w:r>
      <w:r>
        <w:rPr>
          <w:i/>
          <w:iCs/>
        </w:rPr>
        <w:t xml:space="preserve">evidence rather than manual remediation tracking?</w:t>
      </w:r>
      <w:r>
        <w:t xml:space="preserve"> </w:t>
      </w:r>
      <w:r>
        <w:t xml:space="preserve">(CA-5, RA-5)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For SC-7 boundary protection, what is my evidence at the workload</w:t>
      </w:r>
      <w:r>
        <w:rPr>
          <w:i/>
          <w:iCs/>
        </w:rPr>
        <w:t xml:space="preserve"> </w:t>
      </w:r>
      <w:r>
        <w:rPr>
          <w:i/>
          <w:iCs/>
        </w:rPr>
        <w:t xml:space="preserve">tier — distinct from perimeter firewalls and CSPM?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For SI-4 system monitoring, can I show end-to-end visibility from</w:t>
      </w:r>
      <w:r>
        <w:rPr>
          <w:i/>
          <w:iCs/>
        </w:rPr>
        <w:t xml:space="preserve"> </w:t>
      </w:r>
      <w:r>
        <w:rPr>
          <w:i/>
          <w:iCs/>
        </w:rPr>
        <w:t xml:space="preserve">process initiation through network conversation to data store?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If my assessor wants machine-readable artifacts (OSCAL-adjacent),</w:t>
      </w:r>
      <w:r>
        <w:rPr>
          <w:i/>
          <w:iCs/>
        </w:rPr>
        <w:t xml:space="preserve"> </w:t>
      </w:r>
      <w:r>
        <w:rPr>
          <w:i/>
          <w:iCs/>
        </w:rPr>
        <w:t xml:space="preserve">what does CSW produce vs. what still requires narrative</w:t>
      </w:r>
      <w:r>
        <w:rPr>
          <w:i/>
          <w:iCs/>
        </w:rPr>
        <w:t xml:space="preserve"> </w:t>
      </w:r>
      <w:r>
        <w:rPr>
          <w:i/>
          <w:iCs/>
        </w:rPr>
        <w:t xml:space="preserve">documentation?</w:t>
      </w:r>
    </w:p>
    <w:p>
      <w:pPr>
        <w:pStyle w:val="FirstParagraph"/>
      </w:pPr>
      <w:r>
        <w:rPr>
          <w:b/>
          <w:bCs/>
        </w:rPr>
        <w:t xml:space="preserve">What you'll need.</w:t>
      </w:r>
      <w:r>
        <w:t xml:space="preserve"> </w:t>
      </w:r>
      <w:r>
        <w:t xml:space="preserve">Your system's FIPS 199 categorization, a current</w:t>
      </w:r>
      <w:r>
        <w:t xml:space="preserve"> </w:t>
      </w:r>
      <w:r>
        <w:t xml:space="preserve">or draft System Security Plan (SSP), your control overlay if any</w:t>
      </w:r>
      <w:r>
        <w:t xml:space="preserve"> </w:t>
      </w:r>
      <w:r>
        <w:t xml:space="preserve">(e.g., HIGH baseline, FedRAMP Mod), and your assessor's evidence</w:t>
      </w:r>
      <w:r>
        <w:t xml:space="preserve"> </w:t>
      </w:r>
      <w:r>
        <w:t xml:space="preserve">format expectations.</w:t>
      </w:r>
    </w:p>
    <w:p>
      <w:pPr>
        <w:pStyle w:val="BodyText"/>
      </w:pPr>
      <w:r>
        <w:rPr>
          <w:b/>
          <w:bCs/>
        </w:rPr>
        <w:t xml:space="preserve">Where to start.</w:t>
      </w:r>
      <w:r>
        <w:t xml:space="preserve"> </w:t>
      </w:r>
      <w:r>
        <w:t xml:space="preserve">Section 2 walks the seven control families CSW</w:t>
      </w:r>
      <w:r>
        <w:t xml:space="preserve"> </w:t>
      </w:r>
      <w:r>
        <w:t xml:space="preserve">addresses most directly; sections 3–4 build the scope tree and the</w:t>
      </w:r>
      <w:r>
        <w:t xml:space="preserve"> </w:t>
      </w:r>
      <w:r>
        <w:t xml:space="preserve">AC-4 / SC-7 policy set that the control mapping depends on; section 5</w:t>
      </w:r>
      <w:r>
        <w:t xml:space="preserve"> </w:t>
      </w:r>
      <w:r>
        <w:t xml:space="preserve">maps coverage by impact level; go to section 6 if you're building the</w:t>
      </w:r>
      <w:r>
        <w:t xml:space="preserve"> </w:t>
      </w:r>
      <w:r>
        <w:t xml:space="preserve">evidence package now.</w:t>
      </w:r>
    </w:p>
    <w:p>
      <w:r>
        <w:pict>
          <v:rect style="width:0;height:1.5pt" o:hralign="center" o:hrstd="t" o:hr="t"/>
        </w:pict>
      </w:r>
    </w:p>
    <w:bookmarkEnd w:id="10"/>
    <w:bookmarkStart w:id="13" w:name="X9ea0bc5b10255d5807114f32c5382b01b68ee39"/>
    <w:p>
      <w:pPr>
        <w:pStyle w:val="Heading2"/>
      </w:pPr>
      <w:r>
        <w:t xml:space="preserve">CSW primer — if you are new to Cisco Secure Workload</w:t>
      </w:r>
    </w:p>
    <w:p>
      <w:pPr>
        <w:pStyle w:val="FirstParagraph"/>
      </w:pPr>
      <w:r>
        <w:t xml:space="preserve">Cisco Secure Workload (CSW) is a</w:t>
      </w:r>
      <w:r>
        <w:t xml:space="preserve"> </w:t>
      </w:r>
      <w:r>
        <w:rPr>
          <w:b/>
          <w:bCs/>
        </w:rPr>
        <w:t xml:space="preserve">workload protection platform</w:t>
      </w:r>
      <w:r>
        <w:t xml:space="preserve">. A lightweight</w:t>
      </w:r>
      <w:r>
        <w:t xml:space="preserve"> </w:t>
      </w:r>
      <w:r>
        <w:rPr>
          <w:b/>
          <w:bCs/>
        </w:rPr>
        <w:t xml:space="preserve">agent</w:t>
      </w:r>
      <w:r>
        <w:t xml:space="preserve"> </w:t>
      </w:r>
      <w:r>
        <w:t xml:space="preserve">on each server/VM/container observes processes and network flows;</w:t>
      </w:r>
      <w:r>
        <w:t xml:space="preserve"> </w:t>
      </w:r>
      <w:r>
        <w:rPr>
          <w:b/>
          <w:bCs/>
        </w:rPr>
        <w:t xml:space="preserve">cloud connectors</w:t>
      </w:r>
      <w:r>
        <w:t xml:space="preserve"> </w:t>
      </w:r>
      <w:r>
        <w:t xml:space="preserve">add AWS/Azure/GCP inventory where agents are not deployed.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CSW term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  <w:tc>
          <w:tcPr/>
          <w:p>
            <w:pPr>
              <w:pStyle w:val="Compact"/>
            </w:pPr>
            <w:r>
              <w:t xml:space="preserve">Why compliance teams care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Scope</w:t>
            </w:r>
          </w:p>
        </w:tc>
        <w:tc>
          <w:tcPr/>
          <w:p>
            <w:pPr>
              <w:pStyle w:val="Compact"/>
            </w:pPr>
            <w:r>
              <w:t xml:space="preserve">Logical boundary (CDE, PHI zone, CUI enclave)</w:t>
            </w:r>
          </w:p>
        </w:tc>
        <w:tc>
          <w:tcPr/>
          <w:p>
            <w:pPr>
              <w:pStyle w:val="Compact"/>
            </w:pPr>
            <w:r>
              <w:t xml:space="preserve">Defines the systems you must prove are isolated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Label / filter</w:t>
            </w:r>
          </w:p>
        </w:tc>
        <w:tc>
          <w:tcPr/>
          <w:p>
            <w:pPr>
              <w:pStyle w:val="Compact"/>
            </w:pPr>
            <w:r>
              <w:t xml:space="preserve">Tag or query assigning workloads to scopes</w:t>
            </w:r>
          </w:p>
        </w:tc>
        <w:tc>
          <w:tcPr/>
          <w:p>
            <w:pPr>
              <w:pStyle w:val="Compact"/>
            </w:pPr>
            <w:r>
              <w:t xml:space="preserve">Automates scope membership — reduces drift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ADM</w:t>
            </w:r>
          </w:p>
        </w:tc>
        <w:tc>
          <w:tcPr/>
          <w:p>
            <w:pPr>
              <w:pStyle w:val="Compact"/>
            </w:pPr>
            <w:r>
              <w:t xml:space="preserve">Application Dependency Mapping from observed traffic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Live</w:t>
            </w:r>
            <w:r>
              <w:t xml:space="preserve"> </w:t>
            </w:r>
            <w:r>
              <w:t xml:space="preserve">network/data-flow diagram for assessors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Workspace</w:t>
            </w:r>
          </w:p>
        </w:tc>
        <w:tc>
          <w:tcPr/>
          <w:p>
            <w:pPr>
              <w:pStyle w:val="Compact"/>
            </w:pPr>
            <w:r>
              <w:t xml:space="preserve">Policy container for one scope or application</w:t>
            </w:r>
          </w:p>
        </w:tc>
        <w:tc>
          <w:tcPr/>
          <w:p>
            <w:pPr>
              <w:pStyle w:val="Compact"/>
            </w:pPr>
            <w:r>
              <w:t xml:space="preserve">Where allow/deny rules are authored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Monitor → Simulation → Enforce</w:t>
            </w:r>
          </w:p>
        </w:tc>
        <w:tc>
          <w:tcPr/>
          <w:p>
            <w:pPr>
              <w:pStyle w:val="Compact"/>
            </w:pPr>
            <w:r>
              <w:t xml:space="preserve">Safe rollout sequence</w:t>
            </w:r>
          </w:p>
        </w:tc>
        <w:tc>
          <w:tcPr/>
          <w:p>
            <w:pPr>
              <w:pStyle w:val="Compact"/>
            </w:pPr>
            <w:r>
              <w:t xml:space="preserve">Simulation = change-board evidence before blocking traffic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Denied Connections</w:t>
            </w:r>
          </w:p>
        </w:tc>
        <w:tc>
          <w:tcPr/>
          <w:p>
            <w:pPr>
              <w:pStyle w:val="Compact"/>
            </w:pPr>
            <w:r>
              <w:t xml:space="preserve">Log of flows blocked by policy</w:t>
            </w:r>
          </w:p>
        </w:tc>
        <w:tc>
          <w:tcPr/>
          <w:p>
            <w:pPr>
              <w:pStyle w:val="Compact"/>
            </w:pPr>
            <w:r>
              <w:t xml:space="preserve">Primary proof that enforcement</w:t>
            </w:r>
            <w:r>
              <w:t xml:space="preserve"> </w:t>
            </w:r>
            <w:r>
              <w:rPr>
                <w:b/>
                <w:bCs/>
              </w:rPr>
              <w:t xml:space="preserve">operates</w:t>
            </w:r>
          </w:p>
        </w:tc>
      </w:tr>
    </w:tbl>
    <w:p>
      <w:pPr>
        <w:pStyle w:val="BodyText"/>
      </w:pPr>
      <w:r>
        <w:rPr>
          <w:b/>
          <w:bCs/>
        </w:rPr>
        <w:t xml:space="preserve">Console areas:</w:t>
      </w:r>
      <w:r>
        <w:t xml:space="preserve"> </w:t>
      </w:r>
      <w:r>
        <w:t xml:space="preserve">Investigate (inventory, flows, vulns) · Defend/Segmentation (policy) · Manage (agents) · Platform (connectors) · Administration (audit log)</w:t>
      </w:r>
    </w:p>
    <w:p>
      <w:pPr>
        <w:pStyle w:val="BodyText"/>
      </w:pPr>
      <w:r>
        <w:rPr>
          <w:b/>
          <w:bCs/>
        </w:rPr>
        <w:t xml:space="preserve">Read next:</w:t>
      </w:r>
      <w:r>
        <w:t xml:space="preserve"> </w:t>
      </w:r>
      <w:hyperlink r:id="rId11">
        <w:r>
          <w:rPr>
            <w:rStyle w:val="Hyperlink"/>
          </w:rPr>
          <w:t xml:space="preserve">Compliance evidence playbook</w:t>
        </w:r>
      </w:hyperlink>
      <w:r>
        <w:t xml:space="preserve"> </w:t>
      </w:r>
      <w:r>
        <w:t xml:space="preserve">(full step-by-step) ·</w:t>
      </w:r>
      <w:r>
        <w:t xml:space="preserve"> </w:t>
      </w:r>
      <w:hyperlink r:id="rId12">
        <w:r>
          <w:rPr>
            <w:rStyle w:val="Hyperlink"/>
          </w:rPr>
          <w:t xml:space="preserve">About CSW</w:t>
        </w:r>
      </w:hyperlink>
      <w:r>
        <w:t xml:space="preserve"> </w:t>
      </w:r>
      <w:r>
        <w:t xml:space="preserve">(platform intro)</w:t>
      </w:r>
    </w:p>
    <w:p>
      <w:r>
        <w:pict>
          <v:rect style="width:0;height:1.5pt" o:hralign="center" o:hrstd="t" o:hr="t"/>
        </w:pict>
      </w:r>
    </w:p>
    <w:bookmarkEnd w:id="13"/>
    <w:bookmarkStart w:id="19" w:name="universal-evidence-workflow"/>
    <w:p>
      <w:pPr>
        <w:pStyle w:val="Heading2"/>
      </w:pPr>
      <w:r>
        <w:t xml:space="preserve">Universal evidence workflow</w:t>
      </w:r>
    </w:p>
    <w:p>
      <w:pPr>
        <w:pStyle w:val="FirstParagraph"/>
      </w:pPr>
      <w:r>
        <w:t xml:space="preserve">Execute these phases for</w:t>
      </w:r>
      <w:r>
        <w:t xml:space="preserve"> </w:t>
      </w:r>
      <w:r>
        <w:rPr>
          <w:b/>
          <w:bCs/>
        </w:rPr>
        <w:t xml:space="preserve">this framework's</w:t>
      </w:r>
      <w:r>
        <w:t xml:space="preserve"> </w:t>
      </w:r>
      <w:r>
        <w:t xml:space="preserve">compliance boundary. Map exports to control IDs in the</w:t>
      </w:r>
      <w:r>
        <w:t xml:space="preserve"> </w:t>
      </w:r>
      <w:r>
        <w:rPr>
          <w:b/>
          <w:bCs/>
        </w:rPr>
        <w:t xml:space="preserve">Reporting &amp; Evidence</w:t>
      </w:r>
      <w:r>
        <w:t xml:space="preserve"> </w:t>
      </w:r>
      <w:r>
        <w:t xml:space="preserve">section below.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Phase</w:t>
            </w:r>
          </w:p>
        </w:tc>
        <w:tc>
          <w:tcPr/>
          <w:p>
            <w:pPr>
              <w:pStyle w:val="Compact"/>
            </w:pPr>
            <w:r>
              <w:t xml:space="preserve">Goal</w:t>
            </w:r>
          </w:p>
        </w:tc>
        <w:tc>
          <w:tcPr/>
          <w:p>
            <w:pPr>
              <w:pStyle w:val="Compact"/>
            </w:pPr>
            <w:r>
              <w:t xml:space="preserve">Key CSW actions</w:t>
            </w:r>
          </w:p>
        </w:tc>
        <w:tc>
          <w:tcPr/>
          <w:p>
            <w:pPr>
              <w:pStyle w:val="Compact"/>
            </w:pPr>
            <w:r>
              <w:t xml:space="preserve">Typical duration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 — Coverage</w:t>
            </w:r>
          </w:p>
        </w:tc>
        <w:tc>
          <w:tcPr/>
          <w:p>
            <w:pPr>
              <w:pStyle w:val="Compact"/>
            </w:pPr>
            <w:r>
              <w:t xml:space="preserve">Every in-scope workload in CSW</w:t>
            </w:r>
          </w:p>
        </w:tc>
        <w:tc>
          <w:tcPr/>
          <w:p>
            <w:pPr>
              <w:pStyle w:val="Compact"/>
            </w:pPr>
            <w:r>
              <w:t xml:space="preserve">Install agents/connectors; apply compliance labels; create scope</w:t>
            </w:r>
          </w:p>
        </w:tc>
        <w:tc>
          <w:tcPr/>
          <w:p>
            <w:pPr>
              <w:pStyle w:val="Compact"/>
            </w:pPr>
            <w:r>
              <w:t xml:space="preserve">Days 1–10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 — Baseline</w:t>
            </w:r>
          </w:p>
        </w:tc>
        <w:tc>
          <w:tcPr/>
          <w:p>
            <w:pPr>
              <w:pStyle w:val="Compact"/>
            </w:pPr>
            <w:r>
              <w:t xml:space="preserve">Machine-generated flow map</w:t>
            </w:r>
          </w:p>
        </w:tc>
        <w:tc>
          <w:tcPr/>
          <w:p>
            <w:pPr>
              <w:pStyle w:val="Compact"/>
            </w:pPr>
            <w:r>
              <w:t xml:space="preserve">Run ADM ≥2 weeks; export clusters; app-owner signoff</w:t>
            </w:r>
          </w:p>
        </w:tc>
        <w:tc>
          <w:tcPr/>
          <w:p>
            <w:pPr>
              <w:pStyle w:val="Compact"/>
            </w:pPr>
            <w:r>
              <w:t xml:space="preserve">Days 11–28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 — Policy</w:t>
            </w:r>
          </w:p>
        </w:tc>
        <w:tc>
          <w:tcPr/>
          <w:p>
            <w:pPr>
              <w:pStyle w:val="Compact"/>
            </w:pPr>
            <w:r>
              <w:t xml:space="preserve">Designed isolation before enforce</w:t>
            </w:r>
          </w:p>
        </w:tc>
        <w:tc>
          <w:tcPr/>
          <w:p>
            <w:pPr>
              <w:pStyle w:val="Compact"/>
            </w:pPr>
            <w:r>
              <w:t xml:space="preserve">Build workspace; Simulation mode; fix false positives</w:t>
            </w:r>
          </w:p>
        </w:tc>
        <w:tc>
          <w:tcPr/>
          <w:p>
            <w:pPr>
              <w:pStyle w:val="Compact"/>
            </w:pPr>
            <w:r>
              <w:t xml:space="preserve">Days 29–45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 — Operate</w:t>
            </w:r>
          </w:p>
        </w:tc>
        <w:tc>
          <w:tcPr/>
          <w:p>
            <w:pPr>
              <w:pStyle w:val="Compact"/>
            </w:pPr>
            <w:r>
              <w:t xml:space="preserve">Continuous proof between audits</w:t>
            </w:r>
          </w:p>
        </w:tc>
        <w:tc>
          <w:tcPr/>
          <w:p>
            <w:pPr>
              <w:pStyle w:val="Compact"/>
            </w:pPr>
            <w:r>
              <w:t xml:space="preserve">Enforce; quarterly export pack; ADM refresh every 90 days</w:t>
            </w:r>
          </w:p>
        </w:tc>
        <w:tc>
          <w:tcPr/>
          <w:p>
            <w:pPr>
              <w:pStyle w:val="Compact"/>
            </w:pPr>
            <w:r>
              <w:t xml:space="preserve">Ongoing</w:t>
            </w:r>
          </w:p>
        </w:tc>
      </w:tr>
    </w:tbl>
    <w:bookmarkStart w:id="14" w:name="phase-1-checklist-coverage"/>
    <w:p>
      <w:pPr>
        <w:pStyle w:val="Heading3"/>
      </w:pPr>
      <w:r>
        <w:t xml:space="preserve">Phase 1 checklist (coverage)</w:t>
      </w:r>
    </w:p>
    <w:p>
      <w:pPr>
        <w:pStyle w:val="Compact"/>
        <w:numPr>
          <w:ilvl w:val="0"/>
          <w:numId w:val="1002"/>
        </w:numPr>
      </w:pPr>
      <w:r>
        <w:t xml:space="preserve">In-scope host list reconciled to CSW Inventory (100% or documented exceptions)</w:t>
      </w:r>
    </w:p>
    <w:p>
      <w:pPr>
        <w:pStyle w:val="Compact"/>
        <w:numPr>
          <w:ilvl w:val="0"/>
          <w:numId w:val="1003"/>
        </w:numPr>
      </w:pPr>
      <w:r>
        <w:t xml:space="preserve">Labels applied:</w:t>
      </w:r>
      <w:r>
        <w:t xml:space="preserve"> </w:t>
      </w:r>
      <w:r>
        <w:rPr>
          <w:rStyle w:val="VerbatimChar"/>
        </w:rPr>
        <w:t xml:space="preserve">compliance:&lt;framework&gt;</w:t>
      </w:r>
      <w:r>
        <w:t xml:space="preserve">,</w:t>
      </w:r>
      <w:r>
        <w:t xml:space="preserve"> </w:t>
      </w:r>
      <w:r>
        <w:rPr>
          <w:rStyle w:val="VerbatimChar"/>
        </w:rPr>
        <w:t xml:space="preserve">data:&lt;classification&gt;</w:t>
      </w:r>
      <w:r>
        <w:t xml:space="preserve">,</w:t>
      </w:r>
      <w:r>
        <w:t xml:space="preserve"> </w:t>
      </w:r>
      <w:r>
        <w:rPr>
          <w:rStyle w:val="VerbatimChar"/>
        </w:rPr>
        <w:t xml:space="preserve">env:&lt;tier&gt;</w:t>
      </w:r>
    </w:p>
    <w:p>
      <w:pPr>
        <w:pStyle w:val="Compact"/>
        <w:numPr>
          <w:ilvl w:val="0"/>
          <w:numId w:val="1004"/>
        </w:numPr>
      </w:pPr>
      <w:r>
        <w:t xml:space="preserve">CSW scope created matching compliance boundary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Export:</w:t>
      </w:r>
      <w:r>
        <w:t xml:space="preserve"> </w:t>
      </w:r>
      <w:r>
        <w:t xml:space="preserve">inventory CSV + agent status screenshot</w:t>
      </w:r>
    </w:p>
    <w:bookmarkEnd w:id="14"/>
    <w:bookmarkStart w:id="15" w:name="phase-2-checklist-baseline"/>
    <w:p>
      <w:pPr>
        <w:pStyle w:val="Heading3"/>
      </w:pPr>
      <w:r>
        <w:t xml:space="preserve">Phase 2 checklist (baseline)</w:t>
      </w:r>
    </w:p>
    <w:p>
      <w:pPr>
        <w:pStyle w:val="Compact"/>
        <w:numPr>
          <w:ilvl w:val="0"/>
          <w:numId w:val="1006"/>
        </w:numPr>
      </w:pPr>
      <w:r>
        <w:t xml:space="preserve">ADM running on compliance scope for full business cycle (≥2 weeks)</w:t>
      </w:r>
    </w:p>
    <w:p>
      <w:pPr>
        <w:pStyle w:val="Compact"/>
        <w:numPr>
          <w:ilvl w:val="0"/>
          <w:numId w:val="1007"/>
        </w:numPr>
      </w:pPr>
      <w:r>
        <w:t xml:space="preserve">Unexpected flows documented (shadow IT, vendor egress, scope creep)</w:t>
      </w:r>
    </w:p>
    <w:p>
      <w:pPr>
        <w:pStyle w:val="Compact"/>
        <w:numPr>
          <w:ilvl w:val="0"/>
          <w:numId w:val="1008"/>
        </w:numPr>
      </w:pPr>
      <w:r>
        <w:t xml:space="preserve">App owners signed cluster-to-application mapping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Export:</w:t>
      </w:r>
      <w:r>
        <w:t xml:space="preserve"> </w:t>
      </w:r>
      <w:r>
        <w:t xml:space="preserve">ADM diagram + flow samples with process context</w:t>
      </w:r>
    </w:p>
    <w:bookmarkEnd w:id="15"/>
    <w:bookmarkStart w:id="16" w:name="phase-3-checklist-policy"/>
    <w:p>
      <w:pPr>
        <w:pStyle w:val="Heading3"/>
      </w:pPr>
      <w:r>
        <w:t xml:space="preserve">Phase 3 checklist (policy)</w:t>
      </w:r>
    </w:p>
    <w:p>
      <w:pPr>
        <w:pStyle w:val="Compact"/>
        <w:numPr>
          <w:ilvl w:val="0"/>
          <w:numId w:val="1010"/>
        </w:numPr>
      </w:pPr>
      <w:r>
        <w:t xml:space="preserve">Default-deny posture defined for sensitive scope</w:t>
      </w:r>
    </w:p>
    <w:p>
      <w:pPr>
        <w:pStyle w:val="Compact"/>
        <w:numPr>
          <w:ilvl w:val="0"/>
          <w:numId w:val="1011"/>
        </w:numPr>
      </w:pPr>
      <w:r>
        <w:t xml:space="preserve">ADM-imported rules refined; Simulation run ≥1 week</w:t>
      </w:r>
    </w:p>
    <w:p>
      <w:pPr>
        <w:pStyle w:val="Compact"/>
        <w:numPr>
          <w:ilvl w:val="0"/>
          <w:numId w:val="1012"/>
        </w:numPr>
      </w:pPr>
      <w:r>
        <w:t xml:space="preserve">Change tickets for false-positive fixes; exception register updated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Export:</w:t>
      </w:r>
      <w:r>
        <w:t xml:space="preserve"> </w:t>
      </w:r>
      <w:r>
        <w:t xml:space="preserve">policy export + simulation report</w:t>
      </w:r>
    </w:p>
    <w:bookmarkEnd w:id="16"/>
    <w:bookmarkStart w:id="17" w:name="phase-4-checklist-operate"/>
    <w:p>
      <w:pPr>
        <w:pStyle w:val="Heading3"/>
      </w:pPr>
      <w:r>
        <w:t xml:space="preserve">Phase 4 checklist (operate)</w:t>
      </w:r>
    </w:p>
    <w:p>
      <w:pPr>
        <w:pStyle w:val="Compact"/>
        <w:numPr>
          <w:ilvl w:val="0"/>
          <w:numId w:val="1014"/>
        </w:numPr>
      </w:pPr>
      <w:r>
        <w:t xml:space="preserve">Enforcement enabled on pilot scope; negative test recorded in Denied Connections</w:t>
      </w:r>
    </w:p>
    <w:p>
      <w:pPr>
        <w:pStyle w:val="Compact"/>
        <w:numPr>
          <w:ilvl w:val="0"/>
          <w:numId w:val="1015"/>
        </w:numPr>
      </w:pPr>
      <w:r>
        <w:t xml:space="preserve">Quarterly pack: inventory, policy, denies, vulns, audit log (see playbook)</w:t>
      </w:r>
    </w:p>
    <w:p>
      <w:pPr>
        <w:pStyle w:val="Compact"/>
        <w:numPr>
          <w:ilvl w:val="0"/>
          <w:numId w:val="1016"/>
        </w:numPr>
      </w:pPr>
      <w:r>
        <w:t xml:space="preserve">SIEM integration verified (sample events)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Export:</w:t>
      </w:r>
      <w:r>
        <w:t xml:space="preserve"> </w:t>
      </w:r>
      <w:r>
        <w:t xml:space="preserve">enforcement screenshot + quarterly binder</w:t>
      </w:r>
    </w:p>
    <w:bookmarkEnd w:id="17"/>
    <w:bookmarkStart w:id="18" w:name="what-csw-evidence-does-not-replace"/>
    <w:p>
      <w:pPr>
        <w:pStyle w:val="Heading3"/>
      </w:pPr>
      <w:r>
        <w:t xml:space="preserve">What CSW evidence does not replace</w:t>
      </w:r>
    </w:p>
    <w:p>
      <w:pPr>
        <w:pStyle w:val="FirstParagraph"/>
      </w:pPr>
      <w:r>
        <w:t xml:space="preserve">Physical access, HR/training records, encryption key management, signed BAAs/vendor contracts, formal pen tests, and assessor attestation still require separate programmes. CSW addresses the</w:t>
      </w:r>
      <w:r>
        <w:t xml:space="preserve"> </w:t>
      </w:r>
      <w:r>
        <w:rPr>
          <w:b/>
          <w:bCs/>
        </w:rPr>
        <w:t xml:space="preserve">workload-resident</w:t>
      </w:r>
      <w:r>
        <w:t xml:space="preserve"> </w:t>
      </w:r>
      <w:r>
        <w:t xml:space="preserve">slice: segmentation, flows, process context, vuln reachability, and change drift.</w:t>
      </w:r>
    </w:p>
    <w:p>
      <w:r>
        <w:pict>
          <v:rect style="width:0;height:1.5pt" o:hralign="center" o:hrstd="t" o:hr="t"/>
        </w:pict>
      </w:r>
    </w:p>
    <w:bookmarkEnd w:id="18"/>
    <w:bookmarkEnd w:id="19"/>
    <w:bookmarkStart w:id="20" w:name="csw-effectiveness-for-this-framework"/>
    <w:p>
      <w:pPr>
        <w:pStyle w:val="Heading2"/>
      </w:pPr>
      <w:r>
        <w:t xml:space="preserve">CSW effectiveness for this framework</w:t>
      </w:r>
    </w:p>
    <w:p>
      <w:pPr>
        <w:pStyle w:val="Compact"/>
        <w:numPr>
          <w:ilvl w:val="0"/>
          <w:numId w:val="1018"/>
        </w:numPr>
      </w:pPr>
      <w:r>
        <w:t xml:space="preserve">AC-4 information-flow enforcement with exportable policy artefacts</w:t>
      </w:r>
    </w:p>
    <w:p>
      <w:pPr>
        <w:pStyle w:val="Compact"/>
        <w:numPr>
          <w:ilvl w:val="0"/>
          <w:numId w:val="1018"/>
        </w:numPr>
      </w:pPr>
      <w:r>
        <w:t xml:space="preserve">CA-7 continuous monitoring via inventory, flows, and violations</w:t>
      </w:r>
    </w:p>
    <w:p>
      <w:pPr>
        <w:pStyle w:val="Compact"/>
        <w:numPr>
          <w:ilvl w:val="0"/>
          <w:numId w:val="1018"/>
        </w:numPr>
      </w:pPr>
      <w:r>
        <w:t xml:space="preserve">CM-2/3/8 baseline and change tracking through ADM drift</w:t>
      </w:r>
    </w:p>
    <w:p>
      <w:pPr>
        <w:pStyle w:val="FirstParagraph"/>
      </w:pPr>
      <w:r>
        <w:rPr>
          <w:b/>
          <w:bCs/>
        </w:rPr>
        <w:t xml:space="preserve">Compared to manual programmes:</w:t>
      </w:r>
      <w:r>
        <w:t xml:space="preserve"> </w:t>
      </w:r>
      <w:r>
        <w:t xml:space="preserve">static diagrams and annual firewall samples age immediately; CSW ties evidence to</w:t>
      </w:r>
      <w:r>
        <w:t xml:space="preserve"> </w:t>
      </w:r>
      <w:r>
        <w:rPr>
          <w:b/>
          <w:bCs/>
        </w:rPr>
        <w:t xml:space="preserve">live workload behaviour</w:t>
      </w:r>
      <w:r>
        <w:t xml:space="preserve"> </w:t>
      </w:r>
      <w:r>
        <w:t xml:space="preserve">and produces queryable exports on demand — supporting "operating effectively" language in PCI v4.0, SOC 2 CC7, and HIPAA risk analysis.</w:t>
      </w:r>
    </w:p>
    <w:p>
      <w:r>
        <w:pict>
          <v:rect style="width:0;height:1.5pt" o:hralign="center" o:hrstd="t" o:hr="t"/>
        </w:pict>
      </w:r>
    </w:p>
    <w:bookmarkEnd w:id="20"/>
    <w:bookmarkStart w:id="21" w:name="Xc8951b796c7b61cbdd4998c72efbdeed0056e13"/>
    <w:p>
      <w:pPr>
        <w:pStyle w:val="Heading2"/>
      </w:pPr>
      <w:r>
        <w:t xml:space="preserve">1. Overview</w:t>
      </w:r>
    </w:p>
    <w:p>
      <w:pPr>
        <w:pStyle w:val="FirstParagraph"/>
      </w:pPr>
      <w:r>
        <w:t xml:space="preserve">NIST SP 800-53 Rev 5 provides a comprehensive catalog of security and privacy controls for federal information systems. CSW can support technical evidence for selected controls across seven key families:</w:t>
      </w:r>
      <w:r>
        <w:t xml:space="preserve"> </w:t>
      </w:r>
      <w:r>
        <w:rPr>
          <w:b/>
          <w:bCs/>
        </w:rPr>
        <w:t xml:space="preserve">AC</w:t>
      </w:r>
      <w:r>
        <w:t xml:space="preserve"> </w:t>
      </w:r>
      <w:r>
        <w:t xml:space="preserve">(Access Control),</w:t>
      </w:r>
      <w:r>
        <w:t xml:space="preserve"> </w:t>
      </w:r>
      <w:r>
        <w:rPr>
          <w:b/>
          <w:bCs/>
        </w:rPr>
        <w:t xml:space="preserve">AU</w:t>
      </w:r>
      <w:r>
        <w:t xml:space="preserve"> </w:t>
      </w:r>
      <w:r>
        <w:t xml:space="preserve">(Audit &amp; Accountability),</w:t>
      </w:r>
      <w:r>
        <w:t xml:space="preserve"> </w:t>
      </w:r>
      <w:r>
        <w:rPr>
          <w:b/>
          <w:bCs/>
        </w:rPr>
        <w:t xml:space="preserve">CM</w:t>
      </w:r>
      <w:r>
        <w:t xml:space="preserve"> </w:t>
      </w:r>
      <w:r>
        <w:t xml:space="preserve">(Configuration Management),</w:t>
      </w:r>
      <w:r>
        <w:t xml:space="preserve"> </w:t>
      </w:r>
      <w:r>
        <w:rPr>
          <w:b/>
          <w:bCs/>
        </w:rPr>
        <w:t xml:space="preserve">IR</w:t>
      </w:r>
      <w:r>
        <w:t xml:space="preserve"> </w:t>
      </w:r>
      <w:r>
        <w:t xml:space="preserve">(Incident Response),</w:t>
      </w:r>
      <w:r>
        <w:t xml:space="preserve"> </w:t>
      </w:r>
      <w:r>
        <w:rPr>
          <w:b/>
          <w:bCs/>
        </w:rPr>
        <w:t xml:space="preserve">RA</w:t>
      </w:r>
      <w:r>
        <w:t xml:space="preserve"> </w:t>
      </w:r>
      <w:r>
        <w:t xml:space="preserve">(Risk Assessment),</w:t>
      </w:r>
      <w:r>
        <w:t xml:space="preserve"> </w:t>
      </w:r>
      <w:r>
        <w:rPr>
          <w:b/>
          <w:bCs/>
        </w:rPr>
        <w:t xml:space="preserve">SC</w:t>
      </w:r>
      <w:r>
        <w:t xml:space="preserve"> </w:t>
      </w:r>
      <w:r>
        <w:t xml:space="preserve">(System &amp; Communications Protection), and</w:t>
      </w:r>
      <w:r>
        <w:t xml:space="preserve"> </w:t>
      </w:r>
      <w:r>
        <w:rPr>
          <w:b/>
          <w:bCs/>
        </w:rPr>
        <w:t xml:space="preserve">SI</w:t>
      </w:r>
      <w:r>
        <w:t xml:space="preserve"> </w:t>
      </w:r>
      <w:r>
        <w:t xml:space="preserve">(System &amp; Information Integrity).</w:t>
      </w:r>
    </w:p>
    <w:p>
      <w:r>
        <w:pict>
          <v:rect style="width:0;height:1.5pt" o:hralign="center" o:hrstd="t" o:hr="t"/>
        </w:pict>
      </w:r>
    </w:p>
    <w:bookmarkEnd w:id="21"/>
    <w:bookmarkStart w:id="29" w:name="Xd6672b14b6050196751770f0cbb276722e189f1"/>
    <w:p>
      <w:pPr>
        <w:pStyle w:val="Heading2"/>
      </w:pPr>
      <w:r>
        <w:t xml:space="preserve">2. Control Family Mapping</w:t>
      </w:r>
    </w:p>
    <w:bookmarkStart w:id="22" w:name="ac--access-control"/>
    <w:p>
      <w:pPr>
        <w:pStyle w:val="Heading3"/>
      </w:pPr>
      <w:r>
        <w:t xml:space="preserve">AC — Access Control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Control</w:t>
            </w:r>
          </w:p>
        </w:tc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CSW Implementation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AC-3</w:t>
            </w:r>
          </w:p>
        </w:tc>
        <w:tc>
          <w:tcPr/>
          <w:p>
            <w:pPr>
              <w:pStyle w:val="Compact"/>
            </w:pPr>
            <w:r>
              <w:t xml:space="preserve">Access Enforcement</w:t>
            </w:r>
          </w:p>
        </w:tc>
        <w:tc>
          <w:tcPr/>
          <w:p>
            <w:pPr>
              <w:pStyle w:val="Compact"/>
            </w:pPr>
            <w:r>
              <w:t xml:space="preserve">Micro-segmentation enforces allowlist policies at workload level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AC-4</w:t>
            </w:r>
          </w:p>
        </w:tc>
        <w:tc>
          <w:tcPr/>
          <w:p>
            <w:pPr>
              <w:pStyle w:val="Compact"/>
            </w:pPr>
            <w:r>
              <w:t xml:space="preserve">Information Flow Enforcement</w:t>
            </w:r>
          </w:p>
        </w:tc>
        <w:tc>
          <w:tcPr/>
          <w:p>
            <w:pPr>
              <w:pStyle w:val="Compact"/>
            </w:pPr>
            <w:r>
              <w:t xml:space="preserve">ADM maps observed flows within CSW coverage; policy blocks unauthorized paths where enforcement is deployed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AC-6</w:t>
            </w:r>
          </w:p>
        </w:tc>
        <w:tc>
          <w:tcPr/>
          <w:p>
            <w:pPr>
              <w:pStyle w:val="Compact"/>
            </w:pPr>
            <w:r>
              <w:t xml:space="preserve">Least Privilege</w:t>
            </w:r>
          </w:p>
        </w:tc>
        <w:tc>
          <w:tcPr/>
          <w:p>
            <w:pPr>
              <w:pStyle w:val="Compact"/>
            </w:pPr>
            <w:r>
              <w:t xml:space="preserve">Workload-scoped policies grant minimum required network access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AC-17</w:t>
            </w:r>
          </w:p>
        </w:tc>
        <w:tc>
          <w:tcPr/>
          <w:p>
            <w:pPr>
              <w:pStyle w:val="Compact"/>
            </w:pPr>
            <w:r>
              <w:t xml:space="preserve">Remote Access</w:t>
            </w:r>
          </w:p>
        </w:tc>
        <w:tc>
          <w:tcPr/>
          <w:p>
            <w:pPr>
              <w:pStyle w:val="Compact"/>
            </w:pPr>
            <w:r>
              <w:t xml:space="preserve">Jump-host enforcement; remote admin paths explicitly defined and logged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AC-20</w:t>
            </w:r>
          </w:p>
        </w:tc>
        <w:tc>
          <w:tcPr/>
          <w:p>
            <w:pPr>
              <w:pStyle w:val="Compact"/>
            </w:pPr>
            <w:r>
              <w:t xml:space="preserve">Use of External Systems</w:t>
            </w:r>
          </w:p>
        </w:tc>
        <w:tc>
          <w:tcPr/>
          <w:p>
            <w:pPr>
              <w:pStyle w:val="Compact"/>
            </w:pPr>
            <w:r>
              <w:t xml:space="preserve">External partner scope with restricted, audited access paths</w:t>
            </w:r>
          </w:p>
        </w:tc>
      </w:tr>
    </w:tbl>
    <w:p>
      <w:pPr>
        <w:pStyle w:val="BodyText"/>
      </w:pPr>
      <w:r>
        <w:rPr>
          <w:b/>
          <w:bCs/>
        </w:rPr>
        <w:t xml:space="preserve">CSW Implementation:</w:t>
      </w:r>
    </w:p>
    <w:p>
      <w:pPr>
        <w:pStyle w:val="SourceCode"/>
      </w:pPr>
      <w:r>
        <w:rPr>
          <w:rStyle w:val="VerbatimChar"/>
        </w:rPr>
        <w:t xml:space="preserve">CSW UI → Defend → Segmentation</w:t>
      </w:r>
      <w:r>
        <w:br/>
      </w:r>
      <w:r>
        <w:rPr>
          <w:rStyle w:val="VerbatimChar"/>
        </w:rPr>
        <w:t xml:space="preserve">  → Policy type: Allowlist (default deny)</w:t>
      </w:r>
      <w:r>
        <w:br/>
      </w:r>
      <w:r>
        <w:rPr>
          <w:rStyle w:val="VerbatimChar"/>
        </w:rPr>
        <w:t xml:space="preserve">  → Scope: target workload group</w:t>
      </w:r>
      <w:r>
        <w:br/>
      </w:r>
      <w:r>
        <w:rPr>
          <w:rStyle w:val="VerbatimChar"/>
        </w:rPr>
        <w:t xml:space="preserve">  → Document each allowed flow with business justification</w:t>
      </w:r>
      <w:r>
        <w:br/>
      </w:r>
      <w:r>
        <w:rPr>
          <w:rStyle w:val="VerbatimChar"/>
        </w:rPr>
        <w:t xml:space="preserve">  → Export policy for AC-3/AC-4 control evidence</w:t>
      </w:r>
    </w:p>
    <w:bookmarkEnd w:id="22"/>
    <w:bookmarkStart w:id="23" w:name="au--audit--accountability"/>
    <w:p>
      <w:pPr>
        <w:pStyle w:val="Heading3"/>
      </w:pPr>
      <w:r>
        <w:t xml:space="preserve">AU — Audit &amp; Accountability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Control</w:t>
            </w:r>
          </w:p>
        </w:tc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CSW Implementation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AU-2</w:t>
            </w:r>
          </w:p>
        </w:tc>
        <w:tc>
          <w:tcPr/>
          <w:p>
            <w:pPr>
              <w:pStyle w:val="Compact"/>
            </w:pPr>
            <w:r>
              <w:t xml:space="preserve">Event Logging</w:t>
            </w:r>
          </w:p>
        </w:tc>
        <w:tc>
          <w:tcPr/>
          <w:p>
            <w:pPr>
              <w:pStyle w:val="Compact"/>
            </w:pPr>
            <w:r>
              <w:t xml:space="preserve">Full network flow + process telemetry on all monitored workloads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AU-3</w:t>
            </w:r>
          </w:p>
        </w:tc>
        <w:tc>
          <w:tcPr/>
          <w:p>
            <w:pPr>
              <w:pStyle w:val="Compact"/>
            </w:pPr>
            <w:r>
              <w:t xml:space="preserve">Content of Audit Records</w:t>
            </w:r>
          </w:p>
        </w:tc>
        <w:tc>
          <w:tcPr/>
          <w:p>
            <w:pPr>
              <w:pStyle w:val="Compact"/>
            </w:pPr>
            <w:r>
              <w:t xml:space="preserve">5-tuple flows + process name + user context + timestamp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AU-6</w:t>
            </w:r>
          </w:p>
        </w:tc>
        <w:tc>
          <w:tcPr/>
          <w:p>
            <w:pPr>
              <w:pStyle w:val="Compact"/>
            </w:pPr>
            <w:r>
              <w:t xml:space="preserve">Audit Record Review</w:t>
            </w:r>
          </w:p>
        </w:tc>
        <w:tc>
          <w:tcPr/>
          <w:p>
            <w:pPr>
              <w:pStyle w:val="Compact"/>
            </w:pPr>
            <w:r>
              <w:t xml:space="preserve">Alerts export to SIEM for automated review; anomaly detection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AU-9</w:t>
            </w:r>
          </w:p>
        </w:tc>
        <w:tc>
          <w:tcPr/>
          <w:p>
            <w:pPr>
              <w:pStyle w:val="Compact"/>
            </w:pPr>
            <w:r>
              <w:t xml:space="preserve">Protection of Audit Information</w:t>
            </w:r>
          </w:p>
        </w:tc>
        <w:tc>
          <w:tcPr/>
          <w:p>
            <w:pPr>
              <w:pStyle w:val="Compact"/>
            </w:pPr>
            <w:r>
              <w:t xml:space="preserve">CSW telemetry stored in tamper-resistant cluster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AU-12</w:t>
            </w:r>
          </w:p>
        </w:tc>
        <w:tc>
          <w:tcPr/>
          <w:p>
            <w:pPr>
              <w:pStyle w:val="Compact"/>
            </w:pPr>
            <w:r>
              <w:t xml:space="preserve">Audit Record Generation</w:t>
            </w:r>
          </w:p>
        </w:tc>
        <w:tc>
          <w:tcPr/>
          <w:p>
            <w:pPr>
              <w:pStyle w:val="Compact"/>
            </w:pPr>
            <w:r>
              <w:t xml:space="preserve">Continuous logging; configurable retention (recommend 3 years for federal)</w:t>
            </w:r>
          </w:p>
        </w:tc>
      </w:tr>
    </w:tbl>
    <w:p>
      <w:pPr>
        <w:pStyle w:val="BodyText"/>
      </w:pPr>
      <w:r>
        <w:rPr>
          <w:b/>
          <w:bCs/>
        </w:rPr>
        <w:t xml:space="preserve">Log Content per AU-3:</w:t>
      </w:r>
    </w:p>
    <w:p>
      <w:pPr>
        <w:pStyle w:val="Compact"/>
        <w:numPr>
          <w:ilvl w:val="0"/>
          <w:numId w:val="1019"/>
        </w:numPr>
      </w:pPr>
      <w:r>
        <w:t xml:space="preserve">Source/destination IP and port</w:t>
      </w:r>
    </w:p>
    <w:p>
      <w:pPr>
        <w:pStyle w:val="Compact"/>
        <w:numPr>
          <w:ilvl w:val="0"/>
          <w:numId w:val="1019"/>
        </w:numPr>
      </w:pPr>
      <w:r>
        <w:t xml:space="preserve">Protocol and direction</w:t>
      </w:r>
    </w:p>
    <w:p>
      <w:pPr>
        <w:pStyle w:val="Compact"/>
        <w:numPr>
          <w:ilvl w:val="0"/>
          <w:numId w:val="1019"/>
        </w:numPr>
      </w:pPr>
      <w:r>
        <w:t xml:space="preserve">Process name and hash</w:t>
      </w:r>
    </w:p>
    <w:p>
      <w:pPr>
        <w:pStyle w:val="Compact"/>
        <w:numPr>
          <w:ilvl w:val="0"/>
          <w:numId w:val="1019"/>
        </w:numPr>
      </w:pPr>
      <w:r>
        <w:t xml:space="preserve">Parent process context</w:t>
      </w:r>
    </w:p>
    <w:p>
      <w:pPr>
        <w:pStyle w:val="Compact"/>
        <w:numPr>
          <w:ilvl w:val="0"/>
          <w:numId w:val="1019"/>
        </w:numPr>
      </w:pPr>
      <w:r>
        <w:t xml:space="preserve">User context (where OS supports)</w:t>
      </w:r>
    </w:p>
    <w:p>
      <w:pPr>
        <w:pStyle w:val="Compact"/>
        <w:numPr>
          <w:ilvl w:val="0"/>
          <w:numId w:val="1019"/>
        </w:numPr>
      </w:pPr>
      <w:r>
        <w:t xml:space="preserve">Policy action (allow/deny/alert)</w:t>
      </w:r>
    </w:p>
    <w:p>
      <w:pPr>
        <w:pStyle w:val="Compact"/>
        <w:numPr>
          <w:ilvl w:val="0"/>
          <w:numId w:val="1019"/>
        </w:numPr>
      </w:pPr>
      <w:r>
        <w:t xml:space="preserve">Timestamp (UTC, microsecond precision)</w:t>
      </w:r>
    </w:p>
    <w:bookmarkEnd w:id="23"/>
    <w:bookmarkStart w:id="24" w:name="cm--configuration-management"/>
    <w:p>
      <w:pPr>
        <w:pStyle w:val="Heading3"/>
      </w:pPr>
      <w:r>
        <w:t xml:space="preserve">CM — Configuration Management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Control</w:t>
            </w:r>
          </w:p>
        </w:tc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CSW Implementation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CM-2</w:t>
            </w:r>
          </w:p>
        </w:tc>
        <w:tc>
          <w:tcPr/>
          <w:p>
            <w:pPr>
              <w:pStyle w:val="Compact"/>
            </w:pPr>
            <w:r>
              <w:t xml:space="preserve">Baseline Configuration</w:t>
            </w:r>
          </w:p>
        </w:tc>
        <w:tc>
          <w:tcPr/>
          <w:p>
            <w:pPr>
              <w:pStyle w:val="Compact"/>
            </w:pPr>
            <w:r>
              <w:t xml:space="preserve">ADM establishes approved communication baseline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CM-6</w:t>
            </w:r>
          </w:p>
        </w:tc>
        <w:tc>
          <w:tcPr/>
          <w:p>
            <w:pPr>
              <w:pStyle w:val="Compact"/>
            </w:pPr>
            <w:r>
              <w:t xml:space="preserve">Configuration Settings</w:t>
            </w:r>
          </w:p>
        </w:tc>
        <w:tc>
          <w:tcPr/>
          <w:p>
            <w:pPr>
              <w:pStyle w:val="Compact"/>
            </w:pPr>
            <w:r>
              <w:t xml:space="preserve">Process monitoring detects configuration drift (new processes, new ports)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CM-7</w:t>
            </w:r>
          </w:p>
        </w:tc>
        <w:tc>
          <w:tcPr/>
          <w:p>
            <w:pPr>
              <w:pStyle w:val="Compact"/>
            </w:pPr>
            <w:r>
              <w:t xml:space="preserve">Least Functionality</w:t>
            </w:r>
          </w:p>
        </w:tc>
        <w:tc>
          <w:tcPr/>
          <w:p>
            <w:pPr>
              <w:pStyle w:val="Compact"/>
            </w:pPr>
            <w:r>
              <w:t xml:space="preserve">Block non-approved services via port-level policy enforcement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CM-8</w:t>
            </w:r>
          </w:p>
        </w:tc>
        <w:tc>
          <w:tcPr/>
          <w:p>
            <w:pPr>
              <w:pStyle w:val="Compact"/>
            </w:pPr>
            <w:r>
              <w:t xml:space="preserve">System Component Inventory</w:t>
            </w:r>
          </w:p>
        </w:tc>
        <w:tc>
          <w:tcPr/>
          <w:p>
            <w:pPr>
              <w:pStyle w:val="Compact"/>
            </w:pPr>
            <w:r>
              <w:t xml:space="preserve">CSW inventory provides a workload asset catalog for covered components; reconcile with the SSP / CMDB for full CM-8 scope</w:t>
            </w:r>
          </w:p>
        </w:tc>
      </w:tr>
    </w:tbl>
    <w:p>
      <w:pPr>
        <w:pStyle w:val="BodyText"/>
      </w:pPr>
      <w:r>
        <w:rPr>
          <w:b/>
          <w:bCs/>
        </w:rPr>
        <w:t xml:space="preserve">Baseline Drift Detection:</w:t>
      </w:r>
    </w:p>
    <w:p>
      <w:pPr>
        <w:pStyle w:val="SourceCode"/>
      </w:pPr>
      <w:r>
        <w:rPr>
          <w:rStyle w:val="VerbatimChar"/>
        </w:rPr>
        <w:t xml:space="preserve">CSW UI → Investigate → ADM</w:t>
      </w:r>
      <w:r>
        <w:br/>
      </w:r>
      <w:r>
        <w:rPr>
          <w:rStyle w:val="VerbatimChar"/>
        </w:rPr>
        <w:t xml:space="preserve">  → Re-run ADM quarterly</w:t>
      </w:r>
      <w:r>
        <w:br/>
      </w:r>
      <w:r>
        <w:rPr>
          <w:rStyle w:val="VerbatimChar"/>
        </w:rPr>
        <w:t xml:space="preserve">  → Compare to previous baseline</w:t>
      </w:r>
      <w:r>
        <w:br/>
      </w:r>
      <w:r>
        <w:rPr>
          <w:rStyle w:val="VerbatimChar"/>
        </w:rPr>
        <w:t xml:space="preserve">  → New flows = configuration change review required</w:t>
      </w:r>
      <w:r>
        <w:br/>
      </w:r>
      <w:r>
        <w:rPr>
          <w:rStyle w:val="VerbatimChar"/>
        </w:rPr>
        <w:t xml:space="preserve">  → Policy workspace updated to reflect approved changes</w:t>
      </w:r>
    </w:p>
    <w:bookmarkEnd w:id="24"/>
    <w:bookmarkStart w:id="25" w:name="ir--incident-response"/>
    <w:p>
      <w:pPr>
        <w:pStyle w:val="Heading3"/>
      </w:pPr>
      <w:r>
        <w:t xml:space="preserve">IR — Incident Response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Control</w:t>
            </w:r>
          </w:p>
        </w:tc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CSW Implementation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IR-4</w:t>
            </w:r>
          </w:p>
        </w:tc>
        <w:tc>
          <w:tcPr/>
          <w:p>
            <w:pPr>
              <w:pStyle w:val="Compact"/>
            </w:pPr>
            <w:r>
              <w:t xml:space="preserve">Incident Handling</w:t>
            </w:r>
          </w:p>
        </w:tc>
        <w:tc>
          <w:tcPr/>
          <w:p>
            <w:pPr>
              <w:pStyle w:val="Compact"/>
            </w:pPr>
            <w:r>
              <w:t xml:space="preserve">Forensic telemetry enables full incident reconstruction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IR-5</w:t>
            </w:r>
          </w:p>
        </w:tc>
        <w:tc>
          <w:tcPr/>
          <w:p>
            <w:pPr>
              <w:pStyle w:val="Compact"/>
            </w:pPr>
            <w:r>
              <w:t xml:space="preserve">Incident Monitoring</w:t>
            </w:r>
          </w:p>
        </w:tc>
        <w:tc>
          <w:tcPr/>
          <w:p>
            <w:pPr>
              <w:pStyle w:val="Compact"/>
            </w:pPr>
            <w:r>
              <w:t xml:space="preserve">Real-time anomaly alerts; policy violation events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IR-6</w:t>
            </w:r>
          </w:p>
        </w:tc>
        <w:tc>
          <w:tcPr/>
          <w:p>
            <w:pPr>
              <w:pStyle w:val="Compact"/>
            </w:pPr>
            <w:r>
              <w:t xml:space="preserve">Incident Reporting</w:t>
            </w:r>
          </w:p>
        </w:tc>
        <w:tc>
          <w:tcPr/>
          <w:p>
            <w:pPr>
              <w:pStyle w:val="Compact"/>
            </w:pPr>
            <w:r>
              <w:t xml:space="preserve">Alert export to SIEM/SOAR for automated incident ticket creation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IR-10</w:t>
            </w:r>
          </w:p>
        </w:tc>
        <w:tc>
          <w:tcPr/>
          <w:p>
            <w:pPr>
              <w:pStyle w:val="Compact"/>
            </w:pPr>
            <w:r>
              <w:t xml:space="preserve">Integrated Information Security Analysis</w:t>
            </w:r>
          </w:p>
        </w:tc>
        <w:tc>
          <w:tcPr/>
          <w:p>
            <w:pPr>
              <w:pStyle w:val="Compact"/>
            </w:pPr>
            <w:r>
              <w:t xml:space="preserve">CSW correlates network + process + vulnerability context per incident</w:t>
            </w:r>
          </w:p>
        </w:tc>
      </w:tr>
    </w:tbl>
    <w:p>
      <w:pPr>
        <w:pStyle w:val="BodyText"/>
      </w:pPr>
      <w:r>
        <w:rPr>
          <w:b/>
          <w:bCs/>
        </w:rPr>
        <w:t xml:space="preserve">Forensic Investigation Workflow:</w:t>
      </w:r>
    </w:p>
    <w:p>
      <w:pPr>
        <w:pStyle w:val="SourceCode"/>
      </w:pPr>
      <w:r>
        <w:rPr>
          <w:rStyle w:val="VerbatimChar"/>
        </w:rPr>
        <w:t xml:space="preserve">1. Alert triggered → CSW alert with workload ID, time, flow context</w:t>
      </w:r>
      <w:r>
        <w:br/>
      </w:r>
      <w:r>
        <w:rPr>
          <w:rStyle w:val="VerbatimChar"/>
        </w:rPr>
        <w:t xml:space="preserve">2. Flow Search → reconstruct all connections from/to affected workload</w:t>
      </w:r>
      <w:r>
        <w:br/>
      </w:r>
      <w:r>
        <w:rPr>
          <w:rStyle w:val="VerbatimChar"/>
        </w:rPr>
        <w:t xml:space="preserve">3. Process Search → identify anomalous processes + parent chain</w:t>
      </w:r>
      <w:r>
        <w:br/>
      </w:r>
      <w:r>
        <w:rPr>
          <w:rStyle w:val="VerbatimChar"/>
        </w:rPr>
        <w:t xml:space="preserve">4. Vulnerability Report → identify exploited CVE if applicable</w:t>
      </w:r>
      <w:r>
        <w:br/>
      </w:r>
      <w:r>
        <w:rPr>
          <w:rStyle w:val="VerbatimChar"/>
        </w:rPr>
        <w:t xml:space="preserve">5. Export → full forensic package for IR team</w:t>
      </w:r>
    </w:p>
    <w:bookmarkEnd w:id="25"/>
    <w:bookmarkStart w:id="26" w:name="ra--risk-assessment"/>
    <w:p>
      <w:pPr>
        <w:pStyle w:val="Heading3"/>
      </w:pPr>
      <w:r>
        <w:t xml:space="preserve">RA — Risk Assessment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Control</w:t>
            </w:r>
          </w:p>
        </w:tc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CSW Implementation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RA-3</w:t>
            </w:r>
          </w:p>
        </w:tc>
        <w:tc>
          <w:tcPr/>
          <w:p>
            <w:pPr>
              <w:pStyle w:val="Compact"/>
            </w:pPr>
            <w:r>
              <w:t xml:space="preserve">Risk Assessment</w:t>
            </w:r>
          </w:p>
        </w:tc>
        <w:tc>
          <w:tcPr/>
          <w:p>
            <w:pPr>
              <w:pStyle w:val="Compact"/>
            </w:pPr>
            <w:r>
              <w:t xml:space="preserve">Vulnerability data + ADM attack surface = continuous risk posture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RA-5</w:t>
            </w:r>
          </w:p>
        </w:tc>
        <w:tc>
          <w:tcPr/>
          <w:p>
            <w:pPr>
              <w:pStyle w:val="Compact"/>
            </w:pPr>
            <w:r>
              <w:t xml:space="preserve">Vulnerability Monitoring</w:t>
            </w:r>
          </w:p>
        </w:tc>
        <w:tc>
          <w:tcPr/>
          <w:p>
            <w:pPr>
              <w:pStyle w:val="Compact"/>
            </w:pPr>
            <w:r>
              <w:t xml:space="preserve">Continuous vulnerability exposure visibility with CVSS scoring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RA-7</w:t>
            </w:r>
          </w:p>
        </w:tc>
        <w:tc>
          <w:tcPr/>
          <w:p>
            <w:pPr>
              <w:pStyle w:val="Compact"/>
            </w:pPr>
            <w:r>
              <w:t xml:space="preserve">Risk Response</w:t>
            </w:r>
          </w:p>
        </w:tc>
        <w:tc>
          <w:tcPr/>
          <w:p>
            <w:pPr>
              <w:pStyle w:val="Compact"/>
            </w:pPr>
            <w:r>
              <w:t xml:space="preserve">Compensating controls via policy when patching delayed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RA-9</w:t>
            </w:r>
          </w:p>
        </w:tc>
        <w:tc>
          <w:tcPr/>
          <w:p>
            <w:pPr>
              <w:pStyle w:val="Compact"/>
            </w:pPr>
            <w:r>
              <w:t xml:space="preserve">Criticality Analysis</w:t>
            </w:r>
          </w:p>
        </w:tc>
        <w:tc>
          <w:tcPr/>
          <w:p>
            <w:pPr>
              <w:pStyle w:val="Compact"/>
            </w:pPr>
            <w:r>
              <w:t xml:space="preserve">Scope-based tagging identifies high-criticality workloads</w:t>
            </w:r>
          </w:p>
        </w:tc>
      </w:tr>
    </w:tbl>
    <w:bookmarkEnd w:id="26"/>
    <w:bookmarkStart w:id="27" w:name="sc--system--communications-protection"/>
    <w:p>
      <w:pPr>
        <w:pStyle w:val="Heading3"/>
      </w:pPr>
      <w:r>
        <w:t xml:space="preserve">SC — System &amp; Communications Protection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Control</w:t>
            </w:r>
          </w:p>
        </w:tc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CSW Implementation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SC-7</w:t>
            </w:r>
          </w:p>
        </w:tc>
        <w:tc>
          <w:tcPr/>
          <w:p>
            <w:pPr>
              <w:pStyle w:val="Compact"/>
            </w:pPr>
            <w:r>
              <w:t xml:space="preserve">Boundary Protection</w:t>
            </w:r>
          </w:p>
        </w:tc>
        <w:tc>
          <w:tcPr/>
          <w:p>
            <w:pPr>
              <w:pStyle w:val="Compact"/>
            </w:pPr>
            <w:r>
              <w:t xml:space="preserve">Micro-segmentation enforces east-west boundaries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SC-8</w:t>
            </w:r>
          </w:p>
        </w:tc>
        <w:tc>
          <w:tcPr/>
          <w:p>
            <w:pPr>
              <w:pStyle w:val="Compact"/>
            </w:pPr>
            <w:r>
              <w:t xml:space="preserve">Transmission Confidentiality</w:t>
            </w:r>
          </w:p>
        </w:tc>
        <w:tc>
          <w:tcPr/>
          <w:p>
            <w:pPr>
              <w:pStyle w:val="Compact"/>
            </w:pPr>
            <w:r>
              <w:t xml:space="preserve">Detect and block unencrypted sensitive data flows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SC-28</w:t>
            </w:r>
          </w:p>
        </w:tc>
        <w:tc>
          <w:tcPr/>
          <w:p>
            <w:pPr>
              <w:pStyle w:val="Compact"/>
            </w:pPr>
            <w:r>
              <w:t xml:space="preserve">Protection of Information at Rest</w:t>
            </w:r>
          </w:p>
        </w:tc>
        <w:tc>
          <w:tcPr/>
          <w:p>
            <w:pPr>
              <w:pStyle w:val="Compact"/>
            </w:pPr>
            <w:r>
              <w:t xml:space="preserve">Identify workloads with unencrypted storage access paths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SC-39</w:t>
            </w:r>
          </w:p>
        </w:tc>
        <w:tc>
          <w:tcPr/>
          <w:p>
            <w:pPr>
              <w:pStyle w:val="Compact"/>
            </w:pPr>
            <w:r>
              <w:t xml:space="preserve">Process Isolation</w:t>
            </w:r>
          </w:p>
        </w:tc>
        <w:tc>
          <w:tcPr/>
          <w:p>
            <w:pPr>
              <w:pStyle w:val="Compact"/>
            </w:pPr>
            <w:r>
              <w:t xml:space="preserve">Workload-level policy ensures process-to-process isolation</w:t>
            </w:r>
          </w:p>
        </w:tc>
      </w:tr>
    </w:tbl>
    <w:bookmarkEnd w:id="27"/>
    <w:bookmarkStart w:id="28" w:name="si--system--information-integrity"/>
    <w:p>
      <w:pPr>
        <w:pStyle w:val="Heading3"/>
      </w:pPr>
      <w:r>
        <w:t xml:space="preserve">SI — System &amp; Information Integrity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Control</w:t>
            </w:r>
          </w:p>
        </w:tc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CSW Implementation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SI-2</w:t>
            </w:r>
          </w:p>
        </w:tc>
        <w:tc>
          <w:tcPr/>
          <w:p>
            <w:pPr>
              <w:pStyle w:val="Compact"/>
            </w:pPr>
            <w:r>
              <w:t xml:space="preserve">Flaw Remediation</w:t>
            </w:r>
          </w:p>
        </w:tc>
        <w:tc>
          <w:tcPr/>
          <w:p>
            <w:pPr>
              <w:pStyle w:val="Compact"/>
            </w:pPr>
            <w:r>
              <w:t xml:space="preserve">Continuous vulnerability exposure view; prioritized remediation guidance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SI-3</w:t>
            </w:r>
          </w:p>
        </w:tc>
        <w:tc>
          <w:tcPr/>
          <w:p>
            <w:pPr>
              <w:pStyle w:val="Compact"/>
            </w:pPr>
            <w:r>
              <w:t xml:space="preserve">Malicious Code Protection</w:t>
            </w:r>
          </w:p>
        </w:tc>
        <w:tc>
          <w:tcPr/>
          <w:p>
            <w:pPr>
              <w:pStyle w:val="Compact"/>
            </w:pPr>
            <w:r>
              <w:t xml:space="preserve">Process hash monitoring provides detection signals that complement AV / EDR controls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SI-4</w:t>
            </w:r>
          </w:p>
        </w:tc>
        <w:tc>
          <w:tcPr/>
          <w:p>
            <w:pPr>
              <w:pStyle w:val="Compact"/>
            </w:pPr>
            <w:r>
              <w:t xml:space="preserve">System Monitoring</w:t>
            </w:r>
          </w:p>
        </w:tc>
        <w:tc>
          <w:tcPr/>
          <w:p>
            <w:pPr>
              <w:pStyle w:val="Compact"/>
            </w:pPr>
            <w:r>
              <w:t xml:space="preserve">Full telemetry with anomaly detection and alerting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SI-7</w:t>
            </w:r>
          </w:p>
        </w:tc>
        <w:tc>
          <w:tcPr/>
          <w:p>
            <w:pPr>
              <w:pStyle w:val="Compact"/>
            </w:pPr>
            <w:r>
              <w:t xml:space="preserve">Software &amp; Firmware Integrity</w:t>
            </w:r>
          </w:p>
        </w:tc>
        <w:tc>
          <w:tcPr/>
          <w:p>
            <w:pPr>
              <w:pStyle w:val="Compact"/>
            </w:pPr>
            <w:r>
              <w:t xml:space="preserve">Process hash baseline from ADM; deviation triggers alert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8"/>
    <w:bookmarkEnd w:id="29"/>
    <w:bookmarkStart w:id="33" w:name="X7a26901f8ec6985131e0146d6897a82f9245beb"/>
    <w:p>
      <w:pPr>
        <w:pStyle w:val="Heading2"/>
      </w:pPr>
      <w:r>
        <w:t xml:space="preserve">3. Scope Architecture and Labeling</w:t>
      </w:r>
    </w:p>
    <w:p>
      <w:pPr>
        <w:pStyle w:val="FirstParagraph"/>
      </w:pPr>
      <w:r>
        <w:t xml:space="preserve">The control families in section 2 are only auditable against a named</w:t>
      </w:r>
      <w:r>
        <w:t xml:space="preserve"> </w:t>
      </w:r>
      <w:r>
        <w:t xml:space="preserve">boundary. In an 800-53 engagement that boundary already exists on paper —</w:t>
      </w:r>
      <w:r>
        <w:t xml:space="preserve"> </w:t>
      </w:r>
      <w:r>
        <w:t xml:space="preserve">it is the authorization boundary in the SSP — so the job here is to make</w:t>
      </w:r>
      <w:r>
        <w:t xml:space="preserve"> </w:t>
      </w:r>
      <w:r>
        <w:t xml:space="preserve">the CSW scope tree a mirror of the SSP rather than a second, competing</w:t>
      </w:r>
      <w:r>
        <w:t xml:space="preserve"> </w:t>
      </w:r>
      <w:r>
        <w:t xml:space="preserve">inventory. When the two diverge, the assessor treats the CSW export as</w:t>
      </w:r>
      <w:r>
        <w:t xml:space="preserve"> </w:t>
      </w:r>
      <w:r>
        <w:t xml:space="preserve">unreliable, which is a harder finding to close than a missing control.</w:t>
      </w:r>
    </w:p>
    <w:bookmarkStart w:id="30" w:name="Xb2afcc5ec79c92c44c122e5348dde8c691af348"/>
    <w:p>
      <w:pPr>
        <w:pStyle w:val="Heading3"/>
      </w:pPr>
      <w:r>
        <w:t xml:space="preserve">3.1 Suggested Scope Architecture</w:t>
      </w:r>
    </w:p>
    <w:p>
      <w:pPr>
        <w:pStyle w:val="SourceCode"/>
      </w:pPr>
      <w:r>
        <w:rPr>
          <w:rStyle w:val="VerbatimChar"/>
        </w:rPr>
        <w:t xml:space="preserve">Root Scope</w:t>
      </w:r>
      <w:r>
        <w:br/>
      </w:r>
      <w:r>
        <w:rPr>
          <w:rStyle w:val="VerbatimChar"/>
        </w:rPr>
        <w:t xml:space="preserve">└── Authorization-Boundary                (mirrors the SSP system boundary)</w:t>
      </w:r>
      <w:r>
        <w:br/>
      </w:r>
      <w:r>
        <w:rPr>
          <w:rStyle w:val="VerbatimChar"/>
        </w:rPr>
        <w:t xml:space="preserve">    ├── High-Impact-Systems               (FIPS 199 high)</w:t>
      </w:r>
      <w:r>
        <w:br/>
      </w:r>
      <w:r>
        <w:rPr>
          <w:rStyle w:val="VerbatimChar"/>
        </w:rPr>
        <w:t xml:space="preserve">    │   ├── Mission-Applications</w:t>
      </w:r>
      <w:r>
        <w:br/>
      </w:r>
      <w:r>
        <w:rPr>
          <w:rStyle w:val="VerbatimChar"/>
        </w:rPr>
        <w:t xml:space="preserve">    │   └── System-of-Record-Data-Stores</w:t>
      </w:r>
      <w:r>
        <w:br/>
      </w:r>
      <w:r>
        <w:rPr>
          <w:rStyle w:val="VerbatimChar"/>
        </w:rPr>
        <w:t xml:space="preserve">    ├── Moderate-Impact-Systems</w:t>
      </w:r>
      <w:r>
        <w:br/>
      </w:r>
      <w:r>
        <w:rPr>
          <w:rStyle w:val="VerbatimChar"/>
        </w:rPr>
        <w:t xml:space="preserve">    ├── Shared-Services                   (common / inherited controls)</w:t>
      </w:r>
      <w:r>
        <w:br/>
      </w:r>
      <w:r>
        <w:rPr>
          <w:rStyle w:val="VerbatimChar"/>
        </w:rPr>
        <w:t xml:space="preserve">    │   ├── Identity-Services</w:t>
      </w:r>
      <w:r>
        <w:br/>
      </w:r>
      <w:r>
        <w:rPr>
          <w:rStyle w:val="VerbatimChar"/>
        </w:rPr>
        <w:t xml:space="preserve">    │   ├── Logging-and-Monitoring</w:t>
      </w:r>
      <w:r>
        <w:br/>
      </w:r>
      <w:r>
        <w:rPr>
          <w:rStyle w:val="VerbatimChar"/>
        </w:rPr>
        <w:t xml:space="preserve">    │   └── Patch-and-Config-Mgmt</w:t>
      </w:r>
      <w:r>
        <w:br/>
      </w:r>
      <w:r>
        <w:rPr>
          <w:rStyle w:val="VerbatimChar"/>
        </w:rPr>
        <w:t xml:space="preserve">    ├── Privileged-Access-Paths           (AC-17 remote administration)</w:t>
      </w:r>
      <w:r>
        <w:br/>
      </w:r>
      <w:r>
        <w:rPr>
          <w:rStyle w:val="VerbatimChar"/>
        </w:rPr>
        <w:t xml:space="preserve">    └── External-Systems                  (AC-20 — outside the boundary)</w:t>
      </w:r>
    </w:p>
    <w:p>
      <w:pPr>
        <w:pStyle w:val="FirstParagraph"/>
      </w:pPr>
      <w:r>
        <w:rPr>
          <w:rStyle w:val="VerbatimChar"/>
        </w:rPr>
        <w:t xml:space="preserve">External-Systems</w:t>
      </w:r>
      <w:r>
        <w:t xml:space="preserve"> </w:t>
      </w:r>
      <w:r>
        <w:t xml:space="preserve">is deliberately inside the tree even though it sits</w:t>
      </w:r>
      <w:r>
        <w:t xml:space="preserve"> </w:t>
      </w:r>
      <w:r>
        <w:t xml:space="preserve">outside the authorization boundary. AC-20 requires you to evidence the</w:t>
      </w:r>
      <w:r>
        <w:t xml:space="preserve"> </w:t>
      </w:r>
      <w:r>
        <w:t xml:space="preserve">terms of external system use, and you cannot show a flow to a system the</w:t>
      </w:r>
      <w:r>
        <w:t xml:space="preserve"> </w:t>
      </w:r>
      <w:r>
        <w:t xml:space="preserve">scope tree refuses to name.</w:t>
      </w:r>
    </w:p>
    <w:bookmarkEnd w:id="30"/>
    <w:bookmarkStart w:id="31" w:name="X49d050854993157a494233807e24da6beca7d50"/>
    <w:p>
      <w:pPr>
        <w:pStyle w:val="Heading3"/>
      </w:pPr>
      <w:r>
        <w:t xml:space="preserve">3.2 Inventory Filters</w:t>
      </w:r>
    </w:p>
    <w:p>
      <w:pPr>
        <w:pStyle w:val="SourceCode"/>
      </w:pPr>
      <w:r>
        <w:rPr>
          <w:rStyle w:val="VerbatimChar"/>
        </w:rPr>
        <w:t xml:space="preserve">Filter: High-Impact-Systems</w:t>
      </w:r>
      <w:r>
        <w:br/>
      </w:r>
      <w:r>
        <w:rPr>
          <w:rStyle w:val="VerbatimChar"/>
        </w:rPr>
        <w:t xml:space="preserve">  - Tag: fips199_impact = high</w:t>
      </w:r>
      <w:r>
        <w:br/>
      </w:r>
      <w:r>
        <w:rPr>
          <w:rStyle w:val="VerbatimChar"/>
        </w:rPr>
        <w:t xml:space="preserve">  - Tag: system_id matches the SSP system identifier</w:t>
      </w:r>
      <w:r>
        <w:br/>
      </w:r>
      <w:r>
        <w:rPr>
          <w:rStyle w:val="VerbatimChar"/>
        </w:rPr>
        <w:t xml:space="preserve">  - Hostname / application pattern matches the SSP component inventory</w:t>
      </w:r>
      <w:r>
        <w:br/>
      </w:r>
      <w:r>
        <w:br/>
      </w:r>
      <w:r>
        <w:rPr>
          <w:rStyle w:val="VerbatimChar"/>
        </w:rPr>
        <w:t xml:space="preserve">Filter: System-of-Record-Data-Stores</w:t>
      </w:r>
      <w:r>
        <w:br/>
      </w:r>
      <w:r>
        <w:rPr>
          <w:rStyle w:val="VerbatimChar"/>
        </w:rPr>
        <w:t xml:space="preserve">  - Tag: data_type = pii | phi | federal-record</w:t>
      </w:r>
      <w:r>
        <w:br/>
      </w:r>
      <w:r>
        <w:rPr>
          <w:rStyle w:val="VerbatimChar"/>
        </w:rPr>
        <w:t xml:space="preserve">  - Listening port: 1433, 1521, 3306, 5432, 27017</w:t>
      </w:r>
      <w:r>
        <w:br/>
      </w:r>
      <w:r>
        <w:br/>
      </w:r>
      <w:r>
        <w:rPr>
          <w:rStyle w:val="VerbatimChar"/>
        </w:rPr>
        <w:t xml:space="preserve">Filter: Privileged-Access-Paths</w:t>
      </w:r>
      <w:r>
        <w:br/>
      </w:r>
      <w:r>
        <w:rPr>
          <w:rStyle w:val="VerbatimChar"/>
        </w:rPr>
        <w:t xml:space="preserve">  - Listening port: 22, 3389, 5985, 5986</w:t>
      </w:r>
      <w:r>
        <w:br/>
      </w:r>
      <w:r>
        <w:rPr>
          <w:rStyle w:val="VerbatimChar"/>
        </w:rPr>
        <w:t xml:space="preserve">  - Tag: application = bastion | jump-host</w:t>
      </w:r>
      <w:r>
        <w:br/>
      </w:r>
      <w:r>
        <w:br/>
      </w:r>
      <w:r>
        <w:rPr>
          <w:rStyle w:val="VerbatimChar"/>
        </w:rPr>
        <w:t xml:space="preserve">Filter: External-Systems</w:t>
      </w:r>
      <w:r>
        <w:br/>
      </w:r>
      <w:r>
        <w:rPr>
          <w:rStyle w:val="VerbatimChar"/>
        </w:rPr>
        <w:t xml:space="preserve">  - Destination outside the documented boundary allow-lists</w:t>
      </w:r>
      <w:r>
        <w:br/>
      </w:r>
      <w:r>
        <w:rPr>
          <w:rStyle w:val="VerbatimChar"/>
        </w:rPr>
        <w:t xml:space="preserve">  - Tag: managed_by = external | contractor</w:t>
      </w:r>
    </w:p>
    <w:bookmarkEnd w:id="31"/>
    <w:bookmarkStart w:id="32" w:name="X7f182565d226d136c9b8bbdffe85c48c1ab67f5"/>
    <w:p>
      <w:pPr>
        <w:pStyle w:val="Heading3"/>
      </w:pPr>
      <w:r>
        <w:t xml:space="preserve">3.3 Labeling Strategy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Label key</w:t>
            </w:r>
          </w:p>
        </w:tc>
        <w:tc>
          <w:tcPr/>
          <w:p>
            <w:pPr>
              <w:pStyle w:val="Compact"/>
            </w:pPr>
            <w:r>
              <w:t xml:space="preserve">Example values</w:t>
            </w:r>
          </w:p>
        </w:tc>
        <w:tc>
          <w:tcPr/>
          <w:p>
            <w:pPr>
              <w:pStyle w:val="Compact"/>
            </w:pPr>
            <w:r>
              <w:t xml:space="preserve">Why it matters for 800-53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system_id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Reconciles the CSW inventory to the SSP component table — the CM-8 pivot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fips199_impact</w:t>
            </w:r>
          </w:p>
        </w:tc>
        <w:tc>
          <w:tcPr/>
          <w:p>
            <w:pPr>
              <w:pStyle w:val="Compact"/>
            </w:pPr>
            <w:r>
              <w:t xml:space="preserve">high, moderate, low</w:t>
            </w:r>
          </w:p>
        </w:tc>
        <w:tc>
          <w:tcPr/>
          <w:p>
            <w:pPr>
              <w:pStyle w:val="Compact"/>
            </w:pPr>
            <w:r>
              <w:t xml:space="preserve">Sets enforcement stringency per section 5 and drives control selection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control_inheritance</w:t>
            </w:r>
          </w:p>
        </w:tc>
        <w:tc>
          <w:tcPr/>
          <w:p>
            <w:pPr>
              <w:pStyle w:val="Compact"/>
            </w:pPr>
            <w:r>
              <w:t xml:space="preserve">common, hybrid, system-specific</w:t>
            </w:r>
          </w:p>
        </w:tc>
        <w:tc>
          <w:tcPr/>
          <w:p>
            <w:pPr>
              <w:pStyle w:val="Compact"/>
            </w:pPr>
            <w:r>
              <w:t xml:space="preserve">Shows which controls the system inherits from Shared-Services versus implements itself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data_type</w:t>
            </w:r>
          </w:p>
        </w:tc>
        <w:tc>
          <w:tcPr/>
          <w:p>
            <w:pPr>
              <w:pStyle w:val="Compact"/>
            </w:pPr>
            <w:r>
              <w:t xml:space="preserve">pii, phi, federal-record, internal, public</w:t>
            </w:r>
          </w:p>
        </w:tc>
        <w:tc>
          <w:tcPr/>
          <w:p>
            <w:pPr>
              <w:pStyle w:val="Compact"/>
            </w:pPr>
            <w:r>
              <w:t xml:space="preserve">Supports SC-28 / RA-2 categorisation and plaintext-flow findings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authorization_boundary</w:t>
            </w:r>
          </w:p>
        </w:tc>
        <w:tc>
          <w:tcPr/>
          <w:p>
            <w:pPr>
              <w:pStyle w:val="Compact"/>
            </w:pPr>
            <w:r>
              <w:t xml:space="preserve">in, out</w:t>
            </w:r>
          </w:p>
        </w:tc>
        <w:tc>
          <w:tcPr/>
          <w:p>
            <w:pPr>
              <w:pStyle w:val="Compact"/>
            </w:pPr>
            <w:r>
              <w:t xml:space="preserve">Makes the AC-20 external-system question a filter rather than an interview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application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Connects workloads to SSP-named components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owner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Accountability (system owner / ISSO)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compliance</w:t>
            </w:r>
          </w:p>
        </w:tc>
        <w:tc>
          <w:tcPr/>
          <w:p>
            <w:pPr>
              <w:pStyle w:val="Compact"/>
            </w:pPr>
            <w:r>
              <w:t xml:space="preserve">nist-800-53</w:t>
            </w:r>
          </w:p>
        </w:tc>
        <w:tc>
          <w:tcPr/>
          <w:p>
            <w:pPr>
              <w:pStyle w:val="Compact"/>
            </w:pPr>
            <w:r>
              <w:t xml:space="preserve">Filters CSW evidence to the accreditation boundary</w:t>
            </w:r>
          </w:p>
        </w:tc>
      </w:tr>
    </w:tbl>
    <w:p>
      <w:pPr>
        <w:pStyle w:val="BodyText"/>
      </w:pPr>
      <w:r>
        <w:rPr>
          <w:rStyle w:val="VerbatimChar"/>
        </w:rPr>
        <w:t xml:space="preserve">system_id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control_inheritance</w:t>
      </w:r>
      <w:r>
        <w:t xml:space="preserve"> </w:t>
      </w:r>
      <w:r>
        <w:t xml:space="preserve">are the two labels worth enforcing at</w:t>
      </w:r>
      <w:r>
        <w:t xml:space="preserve"> </w:t>
      </w:r>
      <w:r>
        <w:t xml:space="preserve">onboarding. Together they let you answer the question that otherwise costs</w:t>
      </w:r>
      <w:r>
        <w:t xml:space="preserve"> </w:t>
      </w:r>
      <w:r>
        <w:t xml:space="preserve">an assessor interview: for this workload, which controls are inherited,</w:t>
      </w:r>
      <w:r>
        <w:t xml:space="preserve"> </w:t>
      </w:r>
      <w:r>
        <w:t xml:space="preserve">which are hybrid, and where is the evidence for each.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6" w:name="X86c31cd238986e2c87b3d2bc88e4b96aecc3d5d"/>
    <w:p>
      <w:pPr>
        <w:pStyle w:val="Heading2"/>
      </w:pPr>
      <w:r>
        <w:t xml:space="preserve">4. Policy Design — AC-4 and SC-7 Enforcement</w:t>
      </w:r>
    </w:p>
    <w:p>
      <w:pPr>
        <w:pStyle w:val="FirstParagraph"/>
      </w:pPr>
      <w:r>
        <w:t xml:space="preserve">AC-4 and SC-7 are the two controls where CSW produces primary rather than</w:t>
      </w:r>
      <w:r>
        <w:t xml:space="preserve"> </w:t>
      </w:r>
      <w:r>
        <w:t xml:space="preserve">supporting evidence, so the policy set should be written to be read by an</w:t>
      </w:r>
      <w:r>
        <w:t xml:space="preserve"> </w:t>
      </w:r>
      <w:r>
        <w:t xml:space="preserve">assessor, not only by an operator. Each rule below is a sentence in the</w:t>
      </w:r>
      <w:r>
        <w:t xml:space="preserve"> </w:t>
      </w:r>
      <w:r>
        <w:t xml:space="preserve">SSP's information-flow narrative.</w:t>
      </w:r>
    </w:p>
    <w:bookmarkStart w:id="34" w:name="X59d728ad4d5569037cc7f401d668f76d25b9570"/>
    <w:p>
      <w:pPr>
        <w:pStyle w:val="Heading3"/>
      </w:pPr>
      <w:r>
        <w:t xml:space="preserve">4.1 Control-Aligned Policy Framework</w:t>
      </w:r>
    </w:p>
    <w:p>
      <w:pPr>
        <w:pStyle w:val="FirstParagraph"/>
      </w:pPr>
      <w:r>
        <w:rPr>
          <w:b/>
          <w:bCs/>
        </w:rPr>
        <w:t xml:space="preserve">Absolute policies:</w:t>
      </w:r>
    </w:p>
    <w:p>
      <w:pPr>
        <w:pStyle w:val="SourceCode"/>
      </w:pPr>
      <w:r>
        <w:rPr>
          <w:rStyle w:val="VerbatimChar"/>
        </w:rPr>
        <w:t xml:space="preserve">DENY  Any                        → High-Impact-Systems            (default deny inbound — SC-7, AC-4)</w:t>
      </w:r>
      <w:r>
        <w:br/>
      </w:r>
      <w:r>
        <w:rPr>
          <w:rStyle w:val="VerbatimChar"/>
        </w:rPr>
        <w:t xml:space="preserve">DENY  High-Impact-Systems        → Internet                       (no direct egress from high-impact — SC-7)</w:t>
      </w:r>
      <w:r>
        <w:br/>
      </w:r>
      <w:r>
        <w:rPr>
          <w:rStyle w:val="VerbatimChar"/>
        </w:rPr>
        <w:t xml:space="preserve">DENY  External-Systems           → Authorization-Boundary         (no undocumented external path — AC-20)</w:t>
      </w:r>
      <w:r>
        <w:br/>
      </w:r>
      <w:r>
        <w:rPr>
          <w:rStyle w:val="VerbatimChar"/>
        </w:rPr>
        <w:t xml:space="preserve">DENY  Moderate-Impact-Systems    → High-Impact-Systems            (no impact-level downgrade path — AC-4)</w:t>
      </w:r>
    </w:p>
    <w:p>
      <w:pPr>
        <w:pStyle w:val="FirstParagraph"/>
      </w:pPr>
      <w:r>
        <w:t xml:space="preserve">The fourth rule is the one assessors probe hardest. AC-4 is about flow</w:t>
      </w:r>
      <w:r>
        <w:t xml:space="preserve"> </w:t>
      </w:r>
      <w:r>
        <w:rPr>
          <w:i/>
          <w:iCs/>
        </w:rPr>
        <w:t xml:space="preserve">between</w:t>
      </w:r>
      <w:r>
        <w:t xml:space="preserve"> </w:t>
      </w:r>
      <w:r>
        <w:t xml:space="preserve">categorisations, so a moderate-impact workload with an</w:t>
      </w:r>
      <w:r>
        <w:t xml:space="preserve"> </w:t>
      </w:r>
      <w:r>
        <w:t xml:space="preserve">unrestricted path into a high-impact store is a finding even when both</w:t>
      </w:r>
      <w:r>
        <w:t xml:space="preserve"> </w:t>
      </w:r>
      <w:r>
        <w:t xml:space="preserve">systems are individually compliant.</w:t>
      </w:r>
    </w:p>
    <w:p>
      <w:pPr>
        <w:pStyle w:val="BodyText"/>
      </w:pPr>
      <w:r>
        <w:rPr>
          <w:b/>
          <w:bCs/>
        </w:rPr>
        <w:t xml:space="preserve">Allowlist policies (least privilege):</w:t>
      </w:r>
    </w:p>
    <w:p>
      <w:pPr>
        <w:pStyle w:val="SourceCode"/>
      </w:pPr>
      <w:r>
        <w:rPr>
          <w:rStyle w:val="VerbatimChar"/>
        </w:rPr>
        <w:t xml:space="preserve">ALLOW Mission-Applications       → System-of-Record-Data-Stores   tcp/&lt;db-port-tls&gt;</w:t>
      </w:r>
      <w:r>
        <w:br/>
      </w:r>
      <w:r>
        <w:rPr>
          <w:rStyle w:val="VerbatimChar"/>
        </w:rPr>
        <w:t xml:space="preserve">ALLOW Mission-Applications       → Identity-Services              tcp/636, tcp/88</w:t>
      </w:r>
      <w:r>
        <w:br/>
      </w:r>
      <w:r>
        <w:rPr>
          <w:rStyle w:val="VerbatimChar"/>
        </w:rPr>
        <w:t xml:space="preserve">ALLOW Privileged-Access-Paths    → High-Impact-Systems            tcp/22, tcp/3389</w:t>
      </w:r>
      <w:r>
        <w:br/>
      </w:r>
      <w:r>
        <w:rPr>
          <w:rStyle w:val="VerbatimChar"/>
        </w:rPr>
        <w:t xml:space="preserve">ALLOW Authorization-Boundary     → Logging-and-Monitoring         tcp/443, udp/514</w:t>
      </w:r>
      <w:r>
        <w:br/>
      </w:r>
      <w:r>
        <w:rPr>
          <w:rStyle w:val="VerbatimChar"/>
        </w:rPr>
        <w:t xml:space="preserve">ALLOW Patch-and-Config-Mgmt      → Authorization-Boundary         tcp/443</w:t>
      </w:r>
    </w:p>
    <w:p>
      <w:pPr>
        <w:pStyle w:val="FirstParagraph"/>
      </w:pPr>
      <w:r>
        <w:rPr>
          <w:b/>
          <w:bCs/>
        </w:rPr>
        <w:t xml:space="preserve">Catch-all:</w:t>
      </w:r>
    </w:p>
    <w:p>
      <w:pPr>
        <w:pStyle w:val="SourceCode"/>
      </w:pPr>
      <w:r>
        <w:rPr>
          <w:rStyle w:val="VerbatimChar"/>
        </w:rPr>
        <w:t xml:space="preserve">LOG   Any                        → High-Impact-Systems            (unmatched inbound — SI-4)</w:t>
      </w:r>
      <w:r>
        <w:br/>
      </w:r>
      <w:r>
        <w:rPr>
          <w:rStyle w:val="VerbatimChar"/>
        </w:rPr>
        <w:t xml:space="preserve">LOG   High-Impact-Systems        → Any                            (unmatched outbound — SI-4)</w:t>
      </w:r>
      <w:r>
        <w:br/>
      </w:r>
      <w:r>
        <w:rPr>
          <w:rStyle w:val="VerbatimChar"/>
        </w:rPr>
        <w:t xml:space="preserve">LOG   Authorization-Boundary     → Any                            (plaintext: tcp/80, tcp/21, tcp/23, tcp/389, udp/161)</w:t>
      </w:r>
    </w:p>
    <w:bookmarkEnd w:id="34"/>
    <w:bookmarkStart w:id="35" w:name="X549895a5273846e8f584dbdbf7813246b0b1e40"/>
    <w:p>
      <w:pPr>
        <w:pStyle w:val="Heading3"/>
      </w:pPr>
      <w:r>
        <w:t xml:space="preserve">4.2 Policy Workspace Lifecycle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Phase</w:t>
            </w:r>
          </w:p>
        </w:tc>
        <w:tc>
          <w:tcPr/>
          <w:p>
            <w:pPr>
              <w:pStyle w:val="Compact"/>
            </w:pPr>
            <w:r>
              <w:t xml:space="preserve">Mode</w:t>
            </w:r>
          </w:p>
        </w:tc>
        <w:tc>
          <w:tcPr/>
          <w:p>
            <w:pPr>
              <w:pStyle w:val="Compact"/>
            </w:pPr>
            <w:r>
              <w:t xml:space="preserve">Duration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Simulation</w:t>
            </w:r>
          </w:p>
        </w:tc>
        <w:tc>
          <w:tcPr/>
          <w:p>
            <w:pPr>
              <w:pStyle w:val="Compact"/>
            </w:pPr>
            <w:r>
              <w:t xml:space="preserve">2 weeks</w:t>
            </w:r>
          </w:p>
        </w:tc>
        <w:tc>
          <w:tcPr/>
          <w:p>
            <w:pPr>
              <w:pStyle w:val="Compact"/>
            </w:pPr>
            <w:r>
              <w:t xml:space="preserve">Validate the candidate policy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Enforcement (high-confidence rules only)</w:t>
            </w:r>
          </w:p>
        </w:tc>
        <w:tc>
          <w:tcPr/>
          <w:p>
            <w:pPr>
              <w:pStyle w:val="Compact"/>
            </w:pPr>
            <w:r>
              <w:t xml:space="preserve">1 week</w:t>
            </w:r>
          </w:p>
        </w:tc>
        <w:tc>
          <w:tcPr/>
          <w:p>
            <w:pPr>
              <w:pStyle w:val="Compact"/>
            </w:pPr>
            <w:r>
              <w:t xml:space="preserve">Enforce obvious deny rules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Full Enforcement</w:t>
            </w:r>
          </w:p>
        </w:tc>
        <w:tc>
          <w:tcPr/>
          <w:p>
            <w:pPr>
              <w:pStyle w:val="Compact"/>
            </w:pPr>
            <w:r>
              <w:t xml:space="preserve">Ongoing</w:t>
            </w:r>
          </w:p>
        </w:tc>
        <w:tc>
          <w:tcPr/>
          <w:p>
            <w:pPr>
              <w:pStyle w:val="Compact"/>
            </w:pPr>
            <w:r>
              <w:t xml:space="preserve">Workload allowlist enforced; monthly exception review</w:t>
            </w:r>
          </w:p>
        </w:tc>
      </w:tr>
    </w:tbl>
    <w:p>
      <w:pPr>
        <w:pStyle w:val="BodyText"/>
      </w:pPr>
      <w:r>
        <w:t xml:space="preserve">Workspace snapshots are AC-4 and SC-7 implementation evidence; the</w:t>
      </w:r>
      <w:r>
        <w:t xml:space="preserve"> </w:t>
      </w:r>
      <w:r>
        <w:t xml:space="preserve">simulation report is the CM-3 change-control artifact that shows the</w:t>
      </w:r>
      <w:r>
        <w:t xml:space="preserve"> </w:t>
      </w:r>
      <w:r>
        <w:t xml:space="preserve">policy was assessed before it was enforced. Exceptions belong in the</w:t>
      </w:r>
      <w:r>
        <w:t xml:space="preserve"> </w:t>
      </w:r>
      <w:r>
        <w:t xml:space="preserve">workspace exception register, which doubles as the POA&amp;M input.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37" w:name="X756bdcedac3514217d339e0d0bf49dd63b1837e"/>
    <w:p>
      <w:pPr>
        <w:pStyle w:val="Heading2"/>
      </w:pPr>
      <w:r>
        <w:t xml:space="preserve">5. NIST Impact Level Guidance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Impact Level</w:t>
            </w:r>
          </w:p>
        </w:tc>
        <w:tc>
          <w:tcPr/>
          <w:p>
            <w:pPr>
              <w:pStyle w:val="Compact"/>
            </w:pPr>
            <w:r>
              <w:t xml:space="preserve">CSW Configuration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Low</w:t>
            </w:r>
          </w:p>
        </w:tc>
        <w:tc>
          <w:tcPr/>
          <w:p>
            <w:pPr>
              <w:pStyle w:val="Compact"/>
            </w:pPr>
            <w:r>
              <w:t xml:space="preserve">ADM + monitoring only; simulation policies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Moderate</w:t>
            </w:r>
          </w:p>
        </w:tc>
        <w:tc>
          <w:tcPr/>
          <w:p>
            <w:pPr>
              <w:pStyle w:val="Compact"/>
            </w:pPr>
            <w:r>
              <w:t xml:space="preserve">ADM + enforcement on sensitive scopes; full alerting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ADM + full enforcement; process-level monitoring; 3-year telemetry retention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7"/>
    <w:bookmarkStart w:id="38" w:name="X286ccf1fa7fecb39da61319976b799a5b4e0a2f"/>
    <w:p>
      <w:pPr>
        <w:pStyle w:val="Heading2"/>
      </w:pPr>
      <w:r>
        <w:t xml:space="preserve">6. Evidence Package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Evidence Item</w:t>
            </w:r>
          </w:p>
        </w:tc>
        <w:tc>
          <w:tcPr/>
          <w:p>
            <w:pPr>
              <w:pStyle w:val="Compact"/>
            </w:pPr>
            <w:r>
              <w:t xml:space="preserve">CSW Source</w:t>
            </w:r>
          </w:p>
        </w:tc>
        <w:tc>
          <w:tcPr/>
          <w:p>
            <w:pPr>
              <w:pStyle w:val="Compact"/>
            </w:pPr>
            <w:r>
              <w:t xml:space="preserve">Control Family</w:t>
            </w:r>
          </w:p>
        </w:tc>
        <w:tc>
          <w:tcPr/>
          <w:p>
            <w:pPr>
              <w:pStyle w:val="Compact"/>
            </w:pPr>
            <w:r>
              <w:t xml:space="preserve">Frequency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Policy enforcement log</w:t>
            </w:r>
          </w:p>
        </w:tc>
        <w:tc>
          <w:tcPr/>
          <w:p>
            <w:pPr>
              <w:pStyle w:val="Compact"/>
            </w:pPr>
            <w:r>
              <w:t xml:space="preserve">Defend → Policy Workspaces</w:t>
            </w:r>
          </w:p>
        </w:tc>
        <w:tc>
          <w:tcPr/>
          <w:p>
            <w:pPr>
              <w:pStyle w:val="Compact"/>
            </w:pPr>
            <w:r>
              <w:t xml:space="preserve">AC</w:t>
            </w:r>
          </w:p>
        </w:tc>
        <w:tc>
          <w:tcPr/>
          <w:p>
            <w:pPr>
              <w:pStyle w:val="Compact"/>
            </w:pPr>
            <w:r>
              <w:t xml:space="preserve">Per audit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Network flow audit log</w:t>
            </w:r>
          </w:p>
        </w:tc>
        <w:tc>
          <w:tcPr/>
          <w:p>
            <w:pPr>
              <w:pStyle w:val="Compact"/>
            </w:pPr>
            <w:r>
              <w:t xml:space="preserve">Investigate → Flow Search</w:t>
            </w:r>
          </w:p>
        </w:tc>
        <w:tc>
          <w:tcPr/>
          <w:p>
            <w:pPr>
              <w:pStyle w:val="Compact"/>
            </w:pPr>
            <w:r>
              <w:t xml:space="preserve">AU</w:t>
            </w:r>
          </w:p>
        </w:tc>
        <w:tc>
          <w:tcPr/>
          <w:p>
            <w:pPr>
              <w:pStyle w:val="Compact"/>
            </w:pPr>
            <w:r>
              <w:t xml:space="preserve">Continuous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Vulnerability report</w:t>
            </w:r>
          </w:p>
        </w:tc>
        <w:tc>
          <w:tcPr/>
          <w:p>
            <w:pPr>
              <w:pStyle w:val="Compact"/>
            </w:pPr>
            <w:r>
              <w:t xml:space="preserve">Investigate → Vulnerability</w:t>
            </w:r>
          </w:p>
        </w:tc>
        <w:tc>
          <w:tcPr/>
          <w:p>
            <w:pPr>
              <w:pStyle w:val="Compact"/>
            </w:pPr>
            <w:r>
              <w:t xml:space="preserve">RA, SI</w:t>
            </w:r>
          </w:p>
        </w:tc>
        <w:tc>
          <w:tcPr/>
          <w:p>
            <w:pPr>
              <w:pStyle w:val="Compact"/>
            </w:pPr>
            <w:r>
              <w:t xml:space="preserve">Weekly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ADM baseline map</w:t>
            </w:r>
          </w:p>
        </w:tc>
        <w:tc>
          <w:tcPr/>
          <w:p>
            <w:pPr>
              <w:pStyle w:val="Compact"/>
            </w:pPr>
            <w:r>
              <w:t xml:space="preserve">Investigate → ADM</w:t>
            </w:r>
          </w:p>
        </w:tc>
        <w:tc>
          <w:tcPr/>
          <w:p>
            <w:pPr>
              <w:pStyle w:val="Compact"/>
            </w:pPr>
            <w:r>
              <w:t xml:space="preserve">CM</w:t>
            </w:r>
          </w:p>
        </w:tc>
        <w:tc>
          <w:tcPr/>
          <w:p>
            <w:pPr>
              <w:pStyle w:val="Compact"/>
            </w:pPr>
            <w:r>
              <w:t xml:space="preserve">Quarterly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Alert/incident log</w:t>
            </w:r>
          </w:p>
        </w:tc>
        <w:tc>
          <w:tcPr/>
          <w:p>
            <w:pPr>
              <w:pStyle w:val="Compact"/>
            </w:pPr>
            <w:r>
              <w:t xml:space="preserve">Alerts → Dashboard</w:t>
            </w:r>
          </w:p>
        </w:tc>
        <w:tc>
          <w:tcPr/>
          <w:p>
            <w:pPr>
              <w:pStyle w:val="Compact"/>
            </w:pPr>
            <w:r>
              <w:t xml:space="preserve">IR</w:t>
            </w:r>
          </w:p>
        </w:tc>
        <w:tc>
          <w:tcPr/>
          <w:p>
            <w:pPr>
              <w:pStyle w:val="Compact"/>
            </w:pPr>
            <w:r>
              <w:t xml:space="preserve">Monthly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Workload inventory</w:t>
            </w:r>
          </w:p>
        </w:tc>
        <w:tc>
          <w:tcPr/>
          <w:p>
            <w:pPr>
              <w:pStyle w:val="Compact"/>
            </w:pPr>
            <w:r>
              <w:t xml:space="preserve">Manage → Inventory</w:t>
            </w:r>
          </w:p>
        </w:tc>
        <w:tc>
          <w:tcPr/>
          <w:p>
            <w:pPr>
              <w:pStyle w:val="Compact"/>
            </w:pPr>
            <w:r>
              <w:t xml:space="preserve">CM</w:t>
            </w:r>
          </w:p>
        </w:tc>
        <w:tc>
          <w:tcPr/>
          <w:p>
            <w:pPr>
              <w:pStyle w:val="Compact"/>
            </w:pPr>
            <w:r>
              <w:t xml:space="preserve">Monthly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Process anomaly report</w:t>
            </w:r>
          </w:p>
        </w:tc>
        <w:tc>
          <w:tcPr/>
          <w:p>
            <w:pPr>
              <w:pStyle w:val="Compact"/>
            </w:pPr>
            <w:r>
              <w:t xml:space="preserve">Investigate → Process Search</w:t>
            </w:r>
          </w:p>
        </w:tc>
        <w:tc>
          <w:tcPr/>
          <w:p>
            <w:pPr>
              <w:pStyle w:val="Compact"/>
            </w:pPr>
            <w:r>
              <w:t xml:space="preserve">SI</w:t>
            </w:r>
          </w:p>
        </w:tc>
        <w:tc>
          <w:tcPr/>
          <w:p>
            <w:pPr>
              <w:pStyle w:val="Compact"/>
            </w:pPr>
            <w:r>
              <w:t xml:space="preserve">On-demand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8"/>
    <w:bookmarkStart w:id="45" w:name="related-frameworks"/>
    <w:p>
      <w:pPr>
        <w:pStyle w:val="Heading2"/>
      </w:pPr>
      <w:r>
        <w:t xml:space="preserve">Related Frameworks</w:t>
      </w:r>
    </w:p>
    <w:p>
      <w:pPr>
        <w:numPr>
          <w:ilvl w:val="0"/>
          <w:numId w:val="1020"/>
        </w:numPr>
      </w:pPr>
      <w:hyperlink r:id="rId39">
        <w:r>
          <w:rPr>
            <w:rStyle w:val="Hyperlink"/>
          </w:rPr>
          <w:t xml:space="preserve">ISO/IEC 27001:2022</w:t>
        </w:r>
      </w:hyperlink>
      <w:r>
        <w:t xml:space="preserve"> </w:t>
      </w:r>
      <w:r>
        <w:t xml:space="preserve">— the international counterpart for organisations cross-mapping 800-53 to ISO Annex A.</w:t>
      </w:r>
    </w:p>
    <w:p>
      <w:pPr>
        <w:numPr>
          <w:ilvl w:val="0"/>
          <w:numId w:val="1020"/>
        </w:numPr>
      </w:pPr>
      <w:hyperlink r:id="rId40">
        <w:r>
          <w:rPr>
            <w:rStyle w:val="Hyperlink"/>
          </w:rPr>
          <w:t xml:space="preserve">NIST SP 800-207</w:t>
        </w:r>
      </w:hyperlink>
      <w:r>
        <w:t xml:space="preserve"> </w:t>
      </w:r>
      <w:r>
        <w:t xml:space="preserve">— the ZTA architectural overlay on top of the 800-53 control catalogue.</w:t>
      </w:r>
    </w:p>
    <w:p>
      <w:pPr>
        <w:numPr>
          <w:ilvl w:val="0"/>
          <w:numId w:val="1020"/>
        </w:numPr>
      </w:pPr>
      <w:hyperlink r:id="rId41">
        <w:r>
          <w:rPr>
            <w:rStyle w:val="Hyperlink"/>
          </w:rPr>
          <w:t xml:space="preserve">NIST SP 800-207A</w:t>
        </w:r>
      </w:hyperlink>
      <w:r>
        <w:t xml:space="preserve"> </w:t>
      </w:r>
      <w:r>
        <w:t xml:space="preserve">— the logical-component view that operationalises AC, SI, SC families.</w:t>
      </w:r>
    </w:p>
    <w:p>
      <w:pPr>
        <w:numPr>
          <w:ilvl w:val="0"/>
          <w:numId w:val="1020"/>
        </w:numPr>
      </w:pPr>
      <w:hyperlink r:id="rId42">
        <w:r>
          <w:rPr>
            <w:rStyle w:val="Hyperlink"/>
          </w:rPr>
          <w:t xml:space="preserve">FIPS 140</w:t>
        </w:r>
      </w:hyperlink>
      <w:r>
        <w:t xml:space="preserve"> </w:t>
      </w:r>
      <w:r>
        <w:t xml:space="preserve">— SC-13 cryptographic-protection requirement for the 800-53 baselines.</w:t>
      </w:r>
    </w:p>
    <w:p>
      <w:pPr>
        <w:numPr>
          <w:ilvl w:val="0"/>
          <w:numId w:val="1020"/>
        </w:numPr>
      </w:pPr>
      <w:hyperlink r:id="rId43">
        <w:r>
          <w:rPr>
            <w:rStyle w:val="Hyperlink"/>
          </w:rPr>
          <w:t xml:space="preserve">HIPAA</w:t>
        </w:r>
      </w:hyperlink>
      <w:r>
        <w:t xml:space="preserve"> </w:t>
      </w:r>
      <w:r>
        <w:t xml:space="preserve">— for healthcare entities that satisfy §164.306 via 800-53 mapping.</w:t>
      </w:r>
    </w:p>
    <w:p>
      <w:pPr>
        <w:numPr>
          <w:ilvl w:val="0"/>
          <w:numId w:val="1020"/>
        </w:numPr>
      </w:pPr>
      <w:hyperlink r:id="rId44">
        <w:r>
          <w:rPr>
            <w:rStyle w:val="Hyperlink"/>
          </w:rPr>
          <w:t xml:space="preserve">UK NCSC CAF v3.2</w:t>
        </w:r>
      </w:hyperlink>
      <w:r>
        <w:t xml:space="preserve"> </w:t>
      </w:r>
      <w:r>
        <w:t xml:space="preserve">— AC-4 and SC-7 are the reuse path for CAF B5.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Replace [Customer Name] and bracketed fields before customer delivery.</w:t>
      </w:r>
    </w:p>
    <w:bookmarkEnd w:id="45"/>
    <w:bookmarkEnd w:id="4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2"/>
  </w:num>
  <w:num w:numId="1003">
    <w:abstractNumId w:val="992"/>
  </w:num>
  <w:num w:numId="1004">
    <w:abstractNumId w:val="992"/>
  </w:num>
  <w:num w:numId="1005">
    <w:abstractNumId w:val="992"/>
  </w:num>
  <w:num w:numId="1006">
    <w:abstractNumId w:val="992"/>
  </w:num>
  <w:num w:numId="1007">
    <w:abstractNumId w:val="992"/>
  </w:num>
  <w:num w:numId="1008">
    <w:abstractNumId w:val="992"/>
  </w:num>
  <w:num w:numId="1009">
    <w:abstractNumId w:val="992"/>
  </w:num>
  <w:num w:numId="1010">
    <w:abstractNumId w:val="992"/>
  </w:num>
  <w:num w:numId="1011">
    <w:abstractNumId w:val="992"/>
  </w:num>
  <w:num w:numId="1012">
    <w:abstractNumId w:val="992"/>
  </w:num>
  <w:num w:numId="1013">
    <w:abstractNumId w:val="992"/>
  </w:num>
  <w:num w:numId="1014">
    <w:abstractNumId w:val="992"/>
  </w:num>
  <w:num w:numId="1015">
    <w:abstractNumId w:val="992"/>
  </w:num>
  <w:num w:numId="1016">
    <w:abstractNumId w:val="992"/>
  </w:num>
  <w:num w:numId="1017">
    <w:abstractNumId w:val="992"/>
  </w:num>
  <w:num w:numId="1018">
    <w:abstractNumId w:val="991"/>
  </w:num>
  <w:num w:numId="1019">
    <w:abstractNumId w:val="991"/>
  </w:num>
  <w:num w:numId="102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42" Target="../FIPS-140/CSW-FIPS-Reference-Design.md" TargetMode="External" /><Relationship Type="http://schemas.openxmlformats.org/officeDocument/2006/relationships/hyperlink" Id="rId43" Target="../HIPAA/CSW-HIPAA-Reference-Design.md" TargetMode="External" /><Relationship Type="http://schemas.openxmlformats.org/officeDocument/2006/relationships/hyperlink" Id="rId39" Target="../ISO-27001-2022/CSW-ISO27001-Reference-Design.md" TargetMode="External" /><Relationship Type="http://schemas.openxmlformats.org/officeDocument/2006/relationships/hyperlink" Id="rId40" Target="../NIST-800-207/CSW-NIST-800-207-Reference-Design.md" TargetMode="External" /><Relationship Type="http://schemas.openxmlformats.org/officeDocument/2006/relationships/hyperlink" Id="rId41" Target="../NIST-800-207A/CSW-NIST-800-207A-Reference-Design.md" TargetMode="External" /><Relationship Type="http://schemas.openxmlformats.org/officeDocument/2006/relationships/hyperlink" Id="rId44" Target="../UK-NCSC-CAF/caf-mapping.md" TargetMode="External" /><Relationship Type="http://schemas.openxmlformats.org/officeDocument/2006/relationships/hyperlink" Id="rId12" Target="../docs/about-csw.md" TargetMode="External" /><Relationship Type="http://schemas.openxmlformats.org/officeDocument/2006/relationships/hyperlink" Id="rId11" Target="../docs/compliance-evidence-playbook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2" Target="../FIPS-140/CSW-FIPS-Reference-Design.md" TargetMode="External" /><Relationship Type="http://schemas.openxmlformats.org/officeDocument/2006/relationships/hyperlink" Id="rId43" Target="../HIPAA/CSW-HIPAA-Reference-Design.md" TargetMode="External" /><Relationship Type="http://schemas.openxmlformats.org/officeDocument/2006/relationships/hyperlink" Id="rId39" Target="../ISO-27001-2022/CSW-ISO27001-Reference-Design.md" TargetMode="External" /><Relationship Type="http://schemas.openxmlformats.org/officeDocument/2006/relationships/hyperlink" Id="rId40" Target="../NIST-800-207/CSW-NIST-800-207-Reference-Design.md" TargetMode="External" /><Relationship Type="http://schemas.openxmlformats.org/officeDocument/2006/relationships/hyperlink" Id="rId41" Target="../NIST-800-207A/CSW-NIST-800-207A-Reference-Design.md" TargetMode="External" /><Relationship Type="http://schemas.openxmlformats.org/officeDocument/2006/relationships/hyperlink" Id="rId44" Target="../UK-NCSC-CAF/caf-mapping.md" TargetMode="External" /><Relationship Type="http://schemas.openxmlformats.org/officeDocument/2006/relationships/hyperlink" Id="rId12" Target="../docs/about-csw.md" TargetMode="External" /><Relationship Type="http://schemas.openxmlformats.org/officeDocument/2006/relationships/hyperlink" Id="rId11" Target="../docs/compliance-evidence-playbook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2026-10-22T19:33:34Z</dcterms:created>
  <dcterms:modified xsi:type="dcterms:W3CDTF">2026-10-22T19:33:34Z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