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GxP Compliance Report</w:t>
      </w:r>
    </w:p>
    <w:bookmarkStart w:id="23" w:name="X66fb0ca3fb4f16c5af79bcc2015d2a240edeb1f"/>
    <w:p>
      <w:pPr>
        <w:pStyle w:val="Heading1"/>
      </w:pPr>
      <w:r>
        <w:t xml:space="preserve">Cisco Secure Workload - GxP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GxP computerised-system controls: EU GMP Annex 11, 21 CFR Part 11, GAMP 5 (2nd Edition)</w:t>
      </w:r>
      <w:r>
        <w:br/>
      </w:r>
      <w:r>
        <w:rPr>
          <w:b/>
          <w:bCs/>
        </w:rPr>
        <w:t xml:space="preserve">Primary audience:</w:t>
      </w:r>
      <w:r>
        <w:t xml:space="preserve"> </w:t>
      </w:r>
      <w:r>
        <w:t xml:space="preserve">Life-sciences organisations operating GxP-regulated computerised systems: pharmaceutical and biotech manufacturers, medical-device manufacturers, CDMOs and CROs, and their quality / validation / IT-compliance functions.</w:t>
      </w:r>
      <w:r>
        <w:br/>
      </w:r>
      <w:r>
        <w:rPr>
          <w:b/>
          <w:bCs/>
        </w:rPr>
        <w:t xml:space="preserve">CSW positioning:</w:t>
      </w:r>
      <w:r>
        <w:t xml:space="preserve"> </w:t>
      </w:r>
      <w:r>
        <w:t xml:space="preserve">Demonstrable segregation of the validated estate from the non-validated estate, change control and drift detection on validated systems, and compensating controls for validated systems that cannot be patched without revalidation.</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EU GMP Annex 11 (current published version) and 21 CFR Part 11, read alongside GAMP 5 Second Edition (2022) and the FDA Computer Software Assurance draft guidance (September 2022). GxP is a regulatory regime enforced by inspection, not a certification scheme - there is no GxP certificate to obtain. The EU is revising Annex 11; validate against the version in force for the customer’s market before using these references in a regulatory submission.</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CSW-GxP-Reference-Design.md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GxP</w:t>
      </w:r>
      <w:r>
        <w:br/>
      </w:r>
      <w:r>
        <w:rPr>
          <w:rStyle w:val="VerbatimChar"/>
        </w:rPr>
        <w:t xml:space="preserve">├── GxP-Validated (MES, LIMS, EBR, SCADA-Historian, Chromatography-Data-Systems)</w:t>
      </w:r>
      <w:r>
        <w:br/>
      </w:r>
      <w:r>
        <w:rPr>
          <w:rStyle w:val="VerbatimChar"/>
        </w:rPr>
        <w:t xml:space="preserve">├── GxP-Supporting (Backup, Monitoring, Time-Sync, Infrastructure-Services)</w:t>
      </w:r>
      <w:r>
        <w:br/>
      </w:r>
      <w:r>
        <w:rPr>
          <w:rStyle w:val="VerbatimChar"/>
        </w:rPr>
        <w:t xml:space="preserve">├── Non-GxP-Corporate (Office-IT, Email, General-Business-Applications)</w:t>
      </w:r>
      <w:r>
        <w:br/>
      </w:r>
      <w:r>
        <w:rPr>
          <w:rStyle w:val="VerbatimChar"/>
        </w:rPr>
        <w:t xml:space="preserve">└── External-Partners (CDMO, CRO, Instrument-Vendor-Remote-Support)</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Annex 11 §12.1 - physical and logical segregation of validated systems</w:t>
      </w:r>
    </w:p>
    <w:p>
      <w:pPr>
        <w:pStyle w:val="Compact"/>
        <w:numPr>
          <w:ilvl w:val="0"/>
          <w:numId w:val="1001"/>
        </w:numPr>
      </w:pPr>
      <w:r>
        <w:t xml:space="preserve">Annex 11 §10 / §12.2 - change control and unauthorised-change detection</w:t>
      </w:r>
    </w:p>
    <w:p>
      <w:pPr>
        <w:pStyle w:val="Compact"/>
        <w:numPr>
          <w:ilvl w:val="0"/>
          <w:numId w:val="1001"/>
        </w:numPr>
      </w:pPr>
      <w:r>
        <w:t xml:space="preserve">Annex 11 §11 - periodic evaluation evidence for the network control layer</w:t>
      </w:r>
    </w:p>
    <w:p>
      <w:pPr>
        <w:pStyle w:val="Compact"/>
        <w:numPr>
          <w:ilvl w:val="0"/>
          <w:numId w:val="1001"/>
        </w:numPr>
      </w:pPr>
      <w:r>
        <w:t xml:space="preserve">Annex 11 §9 - audit trail of the segmentation control itself</w:t>
      </w:r>
    </w:p>
    <w:p>
      <w:pPr>
        <w:pStyle w:val="Compact"/>
        <w:numPr>
          <w:ilvl w:val="0"/>
          <w:numId w:val="1001"/>
        </w:numPr>
      </w:pPr>
      <w:r>
        <w:t xml:space="preserve">Annex 11 §13 - incident scoping and workload-level timeline reconstruction</w:t>
      </w:r>
    </w:p>
    <w:p>
      <w:pPr>
        <w:pStyle w:val="Compact"/>
        <w:numPr>
          <w:ilvl w:val="0"/>
          <w:numId w:val="1001"/>
        </w:numPr>
      </w:pPr>
      <w:r>
        <w:t xml:space="preserve">Annex 11 §7.1 / §16 - data-store and continuity dependency visibility</w:t>
      </w:r>
    </w:p>
    <w:p>
      <w:pPr>
        <w:pStyle w:val="Compact"/>
        <w:numPr>
          <w:ilvl w:val="0"/>
          <w:numId w:val="1001"/>
        </w:numPr>
      </w:pPr>
      <w:r>
        <w:t xml:space="preserve">21 CFR Part 11 §11.10(d) - limiting system access to authorised individuals (network layer)</w:t>
      </w:r>
    </w:p>
    <w:p>
      <w:pPr>
        <w:pStyle w:val="Compact"/>
        <w:numPr>
          <w:ilvl w:val="0"/>
          <w:numId w:val="1001"/>
        </w:numPr>
      </w:pPr>
      <w:r>
        <w:t xml:space="preserve">Compensating controls for validated systems that cannot be patched</w:t>
      </w:r>
    </w:p>
    <w:p>
      <w:pPr>
        <w:pStyle w:val="Compact"/>
        <w:numPr>
          <w:ilvl w:val="0"/>
          <w:numId w:val="1001"/>
        </w:numPr>
      </w:pPr>
      <w:r>
        <w:t xml:space="preserve">Validated System Inventory (VSI) reconciliation inputs</w:t>
      </w:r>
    </w:p>
    <w:p>
      <w:pPr>
        <w:pStyle w:val="Compact"/>
        <w:numPr>
          <w:ilvl w:val="0"/>
          <w:numId w:val="1001"/>
        </w:numPr>
      </w:pPr>
      <w:r>
        <w:t xml:space="preserve">GMP manufacturing OT boundary hardening on the IT side of the Purdue model</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Computer System Validation (CSV) - IQ/OQ/PQ of the regulated application</w:t>
      </w:r>
    </w:p>
    <w:p>
      <w:pPr>
        <w:pStyle w:val="Compact"/>
        <w:numPr>
          <w:ilvl w:val="0"/>
          <w:numId w:val="1002"/>
        </w:numPr>
      </w:pPr>
      <w:r>
        <w:t xml:space="preserve">Record-level ALCOA+ attributes (attributable, legible, contemporaneous, original, accurate)</w:t>
      </w:r>
    </w:p>
    <w:p>
      <w:pPr>
        <w:pStyle w:val="Compact"/>
        <w:numPr>
          <w:ilvl w:val="0"/>
          <w:numId w:val="1002"/>
        </w:numPr>
      </w:pPr>
      <w:r>
        <w:t xml:space="preserve">Electronic signature capability (21 CFR Part 11 Subpart C)</w:t>
      </w:r>
    </w:p>
    <w:p>
      <w:pPr>
        <w:pStyle w:val="Compact"/>
        <w:numPr>
          <w:ilvl w:val="0"/>
          <w:numId w:val="1002"/>
        </w:numPr>
      </w:pPr>
      <w:r>
        <w:t xml:space="preserve">Application-level audit trails and audit-trail review (Part 11 §11.10(e) at record level)</w:t>
      </w:r>
    </w:p>
    <w:p>
      <w:pPr>
        <w:pStyle w:val="Compact"/>
        <w:numPr>
          <w:ilvl w:val="0"/>
          <w:numId w:val="1002"/>
        </w:numPr>
      </w:pPr>
      <w:r>
        <w:t xml:space="preserve">Quality Management System, SOPs, deviation and CAPA processes</w:t>
      </w:r>
    </w:p>
    <w:p>
      <w:pPr>
        <w:pStyle w:val="Compact"/>
        <w:numPr>
          <w:ilvl w:val="0"/>
          <w:numId w:val="1002"/>
        </w:numPr>
      </w:pPr>
      <w:r>
        <w:t xml:space="preserve">Supplier qualification and vendor assessment</w:t>
      </w:r>
    </w:p>
    <w:p>
      <w:pPr>
        <w:pStyle w:val="Compact"/>
        <w:numPr>
          <w:ilvl w:val="0"/>
          <w:numId w:val="1002"/>
        </w:numPr>
      </w:pPr>
      <w:r>
        <w:t xml:space="preserve">Data integrity governance and periodic data-integrity review</w:t>
      </w:r>
    </w:p>
    <w:p>
      <w:pPr>
        <w:pStyle w:val="Compact"/>
        <w:numPr>
          <w:ilvl w:val="0"/>
          <w:numId w:val="1002"/>
        </w:numPr>
      </w:pPr>
      <w:r>
        <w:t xml:space="preserve">Qualification of CSW itself, which may be required where CSW is relied upon as a GxP control</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Annex 11 §12.1 - access/segregation of validated systems</w:t>
            </w:r>
          </w:p>
        </w:tc>
        <w:tc>
          <w:tcPr>
            <w:shd w:val="clear" w:color="auto" w:fill="107C41"/>
          </w:tcPr>
          <w:p>
            <w:pPr>
              <w:pStyle w:val="Compact"/>
            </w:pPr>
            <w:r>
              <w:rPr>
                <w:b/>
                <w:color w:val="FFFFFF"/>
              </w:rPr>
              <w:t>Direct</w:t>
            </w:r>
          </w:p>
        </w:tc>
        <w:tc>
          <w:tcPr/>
          <w:p>
            <w:pPr>
              <w:pStyle w:val="Compact"/>
            </w:pPr>
            <w:r>
              <w:t xml:space="preserve">Scope tree keyed on validation status; enforced allowlist between GxP-Validated and all other scopes</w:t>
            </w:r>
          </w:p>
        </w:tc>
        <w:tc>
          <w:tcPr/>
          <w:p>
            <w:pPr>
              <w:pStyle w:val="Compact"/>
            </w:pPr>
            <w:r>
              <w:t xml:space="preserve">Policy workspace export showing the Non-GxP-Corporate to GxP-Validated boundary with enforcement state</w:t>
            </w:r>
          </w:p>
        </w:tc>
      </w:tr>
      <w:tr>
        <w:tc>
          <w:tcPr>
            <w:shd w:val="clear" w:color="auto" w:fill="F2F2F2"/>
          </w:tcPr>
          <w:p>
            <w:pPr>
              <w:pStyle w:val="Compact"/>
            </w:pPr>
            <w:r>
              <w:t xml:space="preserve">Annex 11 §12.2 - unauthorised change detection</w:t>
            </w:r>
          </w:p>
        </w:tc>
        <w:tc>
          <w:tcPr>
            <w:shd w:val="clear" w:color="auto" w:fill="107C41"/>
          </w:tcPr>
          <w:p>
            <w:pPr>
              <w:pStyle w:val="Compact"/>
            </w:pPr>
            <w:r>
              <w:rPr>
                <w:b/>
                <w:color w:val="FFFFFF"/>
              </w:rPr>
              <w:t>Direct</w:t>
            </w:r>
          </w:p>
        </w:tc>
        <w:tc>
          <w:tcPr>
            <w:shd w:val="clear" w:color="auto" w:fill="F2F2F2"/>
          </w:tcPr>
          <w:p>
            <w:pPr>
              <w:pStyle w:val="Compact"/>
            </w:pPr>
            <w:r>
              <w:t xml:space="preserve">Policy drift /</w:t>
            </w:r>
            <w:r>
              <w:t xml:space="preserve"> </w:t>
            </w:r>
            <w:r>
              <w:t xml:space="preserve">‘out of sync’</w:t>
            </w:r>
            <w:r>
              <w:t xml:space="preserve"> </w:t>
            </w:r>
            <w:r>
              <w:t xml:space="preserve">detection on enforced workloads</w:t>
            </w:r>
          </w:p>
        </w:tc>
        <w:tc>
          <w:tcPr>
            <w:shd w:val="clear" w:color="auto" w:fill="F2F2F2"/>
          </w:tcPr>
          <w:p>
            <w:pPr>
              <w:pStyle w:val="Compact"/>
            </w:pPr>
            <w:r>
              <w:t xml:space="preserve">Drift report listing workloads whose host firewall no longer matches the approved policy</w:t>
            </w:r>
          </w:p>
        </w:tc>
      </w:tr>
      <w:tr>
        <w:tc>
          <w:tcPr/>
          <w:p>
            <w:pPr>
              <w:pStyle w:val="Compact"/>
            </w:pPr>
            <w:r>
              <w:t xml:space="preserve">Annex 11 §10 - change control</w:t>
            </w:r>
          </w:p>
        </w:tc>
        <w:tc>
          <w:tcPr>
            <w:shd w:val="clear" w:color="auto" w:fill="107C41"/>
          </w:tcPr>
          <w:p>
            <w:pPr>
              <w:pStyle w:val="Compact"/>
            </w:pPr>
            <w:r>
              <w:rPr>
                <w:b/>
                <w:color w:val="FFFFFF"/>
              </w:rPr>
              <w:t>Direct</w:t>
            </w:r>
          </w:p>
        </w:tc>
        <w:tc>
          <w:tcPr/>
          <w:p>
            <w:pPr>
              <w:pStyle w:val="Compact"/>
            </w:pPr>
            <w:r>
              <w:t xml:space="preserve">Simulate-before-enforce impact analysis on the validated estate</w:t>
            </w:r>
          </w:p>
        </w:tc>
        <w:tc>
          <w:tcPr/>
          <w:p>
            <w:pPr>
              <w:pStyle w:val="Compact"/>
            </w:pPr>
            <w:r>
              <w:t xml:space="preserve">Simulation output attached to the change record as pre-implementation impact evidence</w:t>
            </w:r>
          </w:p>
        </w:tc>
      </w:tr>
      <w:tr>
        <w:tc>
          <w:tcPr>
            <w:shd w:val="clear" w:color="auto" w:fill="F2F2F2"/>
          </w:tcPr>
          <w:p>
            <w:pPr>
              <w:pStyle w:val="Compact"/>
            </w:pPr>
            <w:r>
              <w:t xml:space="preserve">Annex 11 §11 - periodic evaluation</w:t>
            </w:r>
          </w:p>
        </w:tc>
        <w:tc>
          <w:tcPr>
            <w:shd w:val="clear" w:color="auto" w:fill="107C41"/>
          </w:tcPr>
          <w:p>
            <w:pPr>
              <w:pStyle w:val="Compact"/>
            </w:pPr>
            <w:r>
              <w:rPr>
                <w:b/>
                <w:color w:val="FFFFFF"/>
              </w:rPr>
              <w:t>Direct</w:t>
            </w:r>
          </w:p>
        </w:tc>
        <w:tc>
          <w:tcPr>
            <w:shd w:val="clear" w:color="auto" w:fill="F2F2F2"/>
          </w:tcPr>
          <w:p>
            <w:pPr>
              <w:pStyle w:val="Compact"/>
            </w:pPr>
            <w:r>
              <w:t xml:space="preserve">Scheduled inventory, policy and flow extracts for the validated estate</w:t>
            </w:r>
          </w:p>
        </w:tc>
        <w:tc>
          <w:tcPr>
            <w:shd w:val="clear" w:color="auto" w:fill="F2F2F2"/>
          </w:tcPr>
          <w:p>
            <w:pPr>
              <w:pStyle w:val="Compact"/>
            </w:pPr>
            <w:r>
              <w:t xml:space="preserve">Periodic evaluation pack covering scope membership, policy state and observed flows</w:t>
            </w:r>
          </w:p>
        </w:tc>
      </w:tr>
      <w:tr>
        <w:tc>
          <w:tcPr/>
          <w:p>
            <w:pPr>
              <w:pStyle w:val="Compact"/>
            </w:pPr>
            <w:r>
              <w:t xml:space="preserve">Annex 11 §9 - audit trail of the control</w:t>
            </w:r>
          </w:p>
        </w:tc>
        <w:tc>
          <w:tcPr>
            <w:shd w:val="clear" w:color="auto" w:fill="107C41"/>
          </w:tcPr>
          <w:p>
            <w:pPr>
              <w:pStyle w:val="Compact"/>
            </w:pPr>
            <w:r>
              <w:rPr>
                <w:b/>
                <w:color w:val="FFFFFF"/>
              </w:rPr>
              <w:t>Direct</w:t>
            </w:r>
          </w:p>
        </w:tc>
        <w:tc>
          <w:tcPr/>
          <w:p>
            <w:pPr>
              <w:pStyle w:val="Compact"/>
            </w:pPr>
            <w:r>
              <w:t xml:space="preserve">CSW change log for scopes, policies and enforcement state</w:t>
            </w:r>
          </w:p>
        </w:tc>
        <w:tc>
          <w:tcPr/>
          <w:p>
            <w:pPr>
              <w:pStyle w:val="Compact"/>
            </w:pPr>
            <w:r>
              <w:t xml:space="preserve">Control-plane audit trail; note this is the audit trail of the control, not of the GxP record</w:t>
            </w:r>
          </w:p>
        </w:tc>
      </w:tr>
      <w:tr>
        <w:tc>
          <w:tcPr>
            <w:shd w:val="clear" w:color="auto" w:fill="F2F2F2"/>
          </w:tcPr>
          <w:p>
            <w:pPr>
              <w:pStyle w:val="Compact"/>
            </w:pPr>
            <w:r>
              <w:t xml:space="preserve">Annex 11 §13 - incident management</w:t>
            </w:r>
          </w:p>
        </w:tc>
        <w:tc>
          <w:tcPr>
            <w:shd w:val="clear" w:color="auto" w:fill="107C41"/>
          </w:tcPr>
          <w:p>
            <w:pPr>
              <w:pStyle w:val="Compact"/>
            </w:pPr>
            <w:r>
              <w:rPr>
                <w:b/>
                <w:color w:val="FFFFFF"/>
              </w:rPr>
              <w:t>Direct</w:t>
            </w:r>
          </w:p>
        </w:tc>
        <w:tc>
          <w:tcPr>
            <w:shd w:val="clear" w:color="auto" w:fill="F2F2F2"/>
          </w:tcPr>
          <w:p>
            <w:pPr>
              <w:pStyle w:val="Compact"/>
            </w:pPr>
            <w:r>
              <w:t xml:space="preserve">Forensic flow and process search scoped to the validated estate</w:t>
            </w:r>
          </w:p>
        </w:tc>
        <w:tc>
          <w:tcPr>
            <w:shd w:val="clear" w:color="auto" w:fill="F2F2F2"/>
          </w:tcPr>
          <w:p>
            <w:pPr>
              <w:pStyle w:val="Compact"/>
            </w:pPr>
            <w:r>
              <w:t xml:space="preserve">Investigation pack with affected validated workloads and time window</w:t>
            </w:r>
          </w:p>
        </w:tc>
      </w:tr>
      <w:tr>
        <w:tc>
          <w:tcPr/>
          <w:p>
            <w:pPr>
              <w:pStyle w:val="Compact"/>
            </w:pPr>
            <w:r>
              <w:t xml:space="preserve">Annex 11 §16 - business continuity</w:t>
            </w:r>
          </w:p>
        </w:tc>
        <w:tc>
          <w:tcPr>
            <w:shd w:val="clear" w:color="auto" w:fill="C55A11"/>
          </w:tcPr>
          <w:p>
            <w:pPr>
              <w:pStyle w:val="Compact"/>
            </w:pPr>
            <w:r>
              <w:rPr>
                <w:b/>
                <w:color w:val="FFFFFF"/>
              </w:rPr>
              <w:t>Supporting</w:t>
            </w:r>
          </w:p>
        </w:tc>
        <w:tc>
          <w:tcPr/>
          <w:p>
            <w:pPr>
              <w:pStyle w:val="Compact"/>
            </w:pPr>
            <w:r>
              <w:t xml:space="preserve">Dependency mapping for validated systems and their supporting services</w:t>
            </w:r>
          </w:p>
        </w:tc>
        <w:tc>
          <w:tcPr/>
          <w:p>
            <w:pPr>
              <w:pStyle w:val="Compact"/>
            </w:pPr>
            <w:r>
              <w:t xml:space="preserve">Observed-dependency map used as input to continuity impact analysis</w:t>
            </w:r>
          </w:p>
        </w:tc>
      </w:tr>
      <w:tr>
        <w:tc>
          <w:tcPr>
            <w:shd w:val="clear" w:color="auto" w:fill="F2F2F2"/>
          </w:tcPr>
          <w:p>
            <w:pPr>
              <w:pStyle w:val="Compact"/>
            </w:pPr>
            <w:r>
              <w:t xml:space="preserve">21 CFR Part 11 §11.10(d) - authorised access</w:t>
            </w:r>
          </w:p>
        </w:tc>
        <w:tc>
          <w:tcPr>
            <w:shd w:val="clear" w:color="auto" w:fill="107C41"/>
          </w:tcPr>
          <w:p>
            <w:pPr>
              <w:pStyle w:val="Compact"/>
            </w:pPr>
            <w:r>
              <w:rPr>
                <w:b/>
                <w:color w:val="FFFFFF"/>
              </w:rPr>
              <w:t>Direct</w:t>
            </w:r>
          </w:p>
        </w:tc>
        <w:tc>
          <w:tcPr>
            <w:shd w:val="clear" w:color="auto" w:fill="F2F2F2"/>
          </w:tcPr>
          <w:p>
            <w:pPr>
              <w:pStyle w:val="Compact"/>
            </w:pPr>
            <w:r>
              <w:t xml:space="preserve">Workload-to-workload allowlist restricting reachability of Part 11 systems</w:t>
            </w:r>
          </w:p>
        </w:tc>
        <w:tc>
          <w:tcPr>
            <w:shd w:val="clear" w:color="auto" w:fill="F2F2F2"/>
          </w:tcPr>
          <w:p>
            <w:pPr>
              <w:pStyle w:val="Compact"/>
            </w:pPr>
            <w:r>
              <w:t xml:space="preserve">Enforced policy set for systems holding Part 11 electronic records</w:t>
            </w:r>
          </w:p>
        </w:tc>
      </w:tr>
      <w:tr>
        <w:tc>
          <w:tcPr/>
          <w:p>
            <w:pPr>
              <w:pStyle w:val="Compact"/>
            </w:pPr>
            <w:r>
              <w:t xml:space="preserve">Un-patchable validated systems</w:t>
            </w:r>
          </w:p>
        </w:tc>
        <w:tc>
          <w:tcPr>
            <w:shd w:val="clear" w:color="auto" w:fill="107C41"/>
          </w:tcPr>
          <w:p>
            <w:pPr>
              <w:pStyle w:val="Compact"/>
            </w:pPr>
            <w:r>
              <w:rPr>
                <w:b/>
                <w:color w:val="FFFFFF"/>
              </w:rPr>
              <w:t>Direct</w:t>
            </w:r>
          </w:p>
        </w:tc>
        <w:tc>
          <w:tcPr/>
          <w:p>
            <w:pPr>
              <w:pStyle w:val="Compact"/>
            </w:pPr>
            <w:r>
              <w:t xml:space="preserve">Reachability-weighted CVE plus compensating segmentation policy</w:t>
            </w:r>
          </w:p>
        </w:tc>
        <w:tc>
          <w:tcPr/>
          <w:p>
            <w:pPr>
              <w:pStyle w:val="Compact"/>
            </w:pPr>
            <w:r>
              <w:t xml:space="preserve">Compensating-control register linking each deferred CVE to the policy that contains it</w:t>
            </w:r>
          </w:p>
        </w:tc>
      </w:tr>
      <w:tr>
        <w:tc>
          <w:tcPr>
            <w:shd w:val="clear" w:color="auto" w:fill="F2F2F2"/>
          </w:tcPr>
          <w:p>
            <w:pPr>
              <w:pStyle w:val="Compact"/>
            </w:pPr>
            <w:r>
              <w:t xml:space="preserve">Validated System Inventory reconciliation</w:t>
            </w:r>
          </w:p>
        </w:tc>
        <w:tc>
          <w:tcPr>
            <w:shd w:val="clear" w:color="auto" w:fill="C55A11"/>
          </w:tcPr>
          <w:p>
            <w:pPr>
              <w:pStyle w:val="Compact"/>
            </w:pPr>
            <w:r>
              <w:rPr>
                <w:b/>
                <w:color w:val="FFFFFF"/>
              </w:rPr>
              <w:t>Supporting</w:t>
            </w:r>
          </w:p>
        </w:tc>
        <w:tc>
          <w:tcPr>
            <w:shd w:val="clear" w:color="auto" w:fill="F2F2F2"/>
          </w:tcPr>
          <w:p>
            <w:pPr>
              <w:pStyle w:val="Compact"/>
            </w:pPr>
            <w:r>
              <w:t xml:space="preserve">Workload inventory with validation-status labels</w:t>
            </w:r>
          </w:p>
        </w:tc>
        <w:tc>
          <w:tcPr>
            <w:shd w:val="clear" w:color="auto" w:fill="F2F2F2"/>
          </w:tcPr>
          <w:p>
            <w:pPr>
              <w:pStyle w:val="Compact"/>
            </w:pPr>
            <w:r>
              <w:t xml:space="preserve">Inventory export reconciled against the quality-owned VSI</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Validated-estate inventory</w:t>
            </w:r>
          </w:p>
        </w:tc>
        <w:tc>
          <w:tcPr/>
          <w:p>
            <w:pPr>
              <w:pStyle w:val="Compact"/>
            </w:pPr>
            <w:r>
              <w:t xml:space="preserve">Workload inventory with validation-status labels and scope membership</w:t>
            </w:r>
          </w:p>
        </w:tc>
        <w:tc>
          <w:tcPr/>
          <w:p>
            <w:pPr>
              <w:pStyle w:val="Compact"/>
            </w:pPr>
            <w:r>
              <w:t xml:space="preserve">Workload inventory + scope membership export</w:t>
            </w:r>
          </w:p>
        </w:tc>
        <w:tc>
          <w:tcPr/>
          <w:p>
            <w:pPr>
              <w:pStyle w:val="Compact"/>
            </w:pPr>
            <w:r>
              <w:t xml:space="preserve">Monthly, and before each periodic evaluation</w:t>
            </w:r>
          </w:p>
        </w:tc>
      </w:tr>
      <w:tr>
        <w:tc>
          <w:tcPr>
            <w:shd w:val="clear" w:color="auto" w:fill="F2F2F2"/>
          </w:tcPr>
          <w:p>
            <w:pPr>
              <w:pStyle w:val="Compact"/>
            </w:pPr>
            <w:r>
              <w:t xml:space="preserve">Validated/non-validated boundary</w:t>
            </w:r>
          </w:p>
        </w:tc>
        <w:tc>
          <w:tcPr>
            <w:shd w:val="clear" w:color="auto" w:fill="F2F2F2"/>
          </w:tcPr>
          <w:p>
            <w:pPr>
              <w:pStyle w:val="Compact"/>
            </w:pPr>
            <w:r>
              <w:t xml:space="preserve">Enforced policy set at the GxP-Validated boundary</w:t>
            </w:r>
          </w:p>
        </w:tc>
        <w:tc>
          <w:tcPr>
            <w:shd w:val="clear" w:color="auto" w:fill="F2F2F2"/>
          </w:tcPr>
          <w:p>
            <w:pPr>
              <w:pStyle w:val="Compact"/>
            </w:pPr>
            <w:r>
              <w:t xml:space="preserve">Policy workspace export with enforcement state</w:t>
            </w:r>
          </w:p>
        </w:tc>
        <w:tc>
          <w:tcPr>
            <w:shd w:val="clear" w:color="auto" w:fill="F2F2F2"/>
          </w:tcPr>
          <w:p>
            <w:pPr>
              <w:pStyle w:val="Compact"/>
            </w:pPr>
            <w:r>
              <w:t xml:space="preserve">Quarterly + after each change</w:t>
            </w:r>
          </w:p>
        </w:tc>
      </w:tr>
      <w:tr>
        <w:tc>
          <w:tcPr/>
          <w:p>
            <w:pPr>
              <w:pStyle w:val="Compact"/>
            </w:pPr>
            <w:r>
              <w:t xml:space="preserve">Change-control impact evidence</w:t>
            </w:r>
          </w:p>
        </w:tc>
        <w:tc>
          <w:tcPr/>
          <w:p>
            <w:pPr>
              <w:pStyle w:val="Compact"/>
            </w:pPr>
            <w:r>
              <w:t xml:space="preserve">Pre-implementation simulation for each policy change on validated systems</w:t>
            </w:r>
          </w:p>
        </w:tc>
        <w:tc>
          <w:tcPr/>
          <w:p>
            <w:pPr>
              <w:pStyle w:val="Compact"/>
            </w:pPr>
            <w:r>
              <w:t xml:space="preserve">Policy simulation output</w:t>
            </w:r>
          </w:p>
        </w:tc>
        <w:tc>
          <w:tcPr/>
          <w:p>
            <w:pPr>
              <w:pStyle w:val="Compact"/>
            </w:pPr>
            <w:r>
              <w:t xml:space="preserve">Per change request</w:t>
            </w:r>
          </w:p>
        </w:tc>
      </w:tr>
      <w:tr>
        <w:tc>
          <w:tcPr>
            <w:shd w:val="clear" w:color="auto" w:fill="F2F2F2"/>
          </w:tcPr>
          <w:p>
            <w:pPr>
              <w:pStyle w:val="Compact"/>
            </w:pPr>
            <w:r>
              <w:t xml:space="preserve">Drift / unauthorised change</w:t>
            </w:r>
          </w:p>
        </w:tc>
        <w:tc>
          <w:tcPr>
            <w:shd w:val="clear" w:color="auto" w:fill="F2F2F2"/>
          </w:tcPr>
          <w:p>
            <w:pPr>
              <w:pStyle w:val="Compact"/>
            </w:pPr>
            <w:r>
              <w:t xml:space="preserve">Workloads out of sync with approved policy</w:t>
            </w:r>
          </w:p>
        </w:tc>
        <w:tc>
          <w:tcPr>
            <w:shd w:val="clear" w:color="auto" w:fill="F2F2F2"/>
          </w:tcPr>
          <w:p>
            <w:pPr>
              <w:pStyle w:val="Compact"/>
            </w:pPr>
            <w:r>
              <w:t xml:space="preserve">Policy drift report</w:t>
            </w:r>
          </w:p>
        </w:tc>
        <w:tc>
          <w:tcPr>
            <w:shd w:val="clear" w:color="auto" w:fill="F2F2F2"/>
          </w:tcPr>
          <w:p>
            <w:pPr>
              <w:pStyle w:val="Compact"/>
            </w:pPr>
            <w:r>
              <w:t xml:space="preserve">Weekly</w:t>
            </w:r>
          </w:p>
        </w:tc>
      </w:tr>
      <w:tr>
        <w:tc>
          <w:tcPr/>
          <w:p>
            <w:pPr>
              <w:pStyle w:val="Compact"/>
            </w:pPr>
            <w:r>
              <w:t xml:space="preserve">Periodic evaluation pack</w:t>
            </w:r>
          </w:p>
        </w:tc>
        <w:tc>
          <w:tcPr/>
          <w:p>
            <w:pPr>
              <w:pStyle w:val="Compact"/>
            </w:pPr>
            <w:r>
              <w:t xml:space="preserve">Inventory, policy, drift and flow extracts for the validated estate</w:t>
            </w:r>
          </w:p>
        </w:tc>
        <w:tc>
          <w:tcPr/>
          <w:p>
            <w:pPr>
              <w:pStyle w:val="Compact"/>
            </w:pPr>
            <w:r>
              <w:t xml:space="preserve">Combined scope, workspace and flow exports</w:t>
            </w:r>
          </w:p>
        </w:tc>
        <w:tc>
          <w:tcPr/>
          <w:p>
            <w:pPr>
              <w:pStyle w:val="Compact"/>
            </w:pPr>
            <w:r>
              <w:t xml:space="preserve">Per the periodic-evaluation schedule, typically annually</w:t>
            </w:r>
          </w:p>
        </w:tc>
      </w:tr>
      <w:tr>
        <w:tc>
          <w:tcPr>
            <w:shd w:val="clear" w:color="auto" w:fill="F2F2F2"/>
          </w:tcPr>
          <w:p>
            <w:pPr>
              <w:pStyle w:val="Compact"/>
            </w:pPr>
            <w:r>
              <w:t xml:space="preserve">Compensating controls for deferred patches</w:t>
            </w:r>
          </w:p>
        </w:tc>
        <w:tc>
          <w:tcPr>
            <w:shd w:val="clear" w:color="auto" w:fill="F2F2F2"/>
          </w:tcPr>
          <w:p>
            <w:pPr>
              <w:pStyle w:val="Compact"/>
            </w:pPr>
            <w:r>
              <w:t xml:space="preserve">Deferred CVE paired with the containing policy</w:t>
            </w:r>
          </w:p>
        </w:tc>
        <w:tc>
          <w:tcPr>
            <w:shd w:val="clear" w:color="auto" w:fill="F2F2F2"/>
          </w:tcPr>
          <w:p>
            <w:pPr>
              <w:pStyle w:val="Compact"/>
            </w:pPr>
            <w:r>
              <w:t xml:space="preserve">Vulnerability report scoped to GxP-Validated + matching policy export</w:t>
            </w:r>
          </w:p>
        </w:tc>
        <w:tc>
          <w:tcPr>
            <w:shd w:val="clear" w:color="auto" w:fill="F2F2F2"/>
          </w:tcPr>
          <w:p>
            <w:pPr>
              <w:pStyle w:val="Compact"/>
            </w:pPr>
            <w:r>
              <w:t xml:space="preserve">Monthly</w:t>
            </w:r>
          </w:p>
        </w:tc>
      </w:tr>
      <w:tr>
        <w:tc>
          <w:tcPr/>
          <w:p>
            <w:pPr>
              <w:pStyle w:val="Compact"/>
            </w:pPr>
            <w:r>
              <w:t xml:space="preserve">Time-synchronisation path</w:t>
            </w:r>
          </w:p>
        </w:tc>
        <w:tc>
          <w:tcPr/>
          <w:p>
            <w:pPr>
              <w:pStyle w:val="Compact"/>
            </w:pPr>
            <w:r>
              <w:t xml:space="preserve">Reachability of the authoritative NTP source from validated workloads</w:t>
            </w:r>
          </w:p>
        </w:tc>
        <w:tc>
          <w:tcPr/>
          <w:p>
            <w:pPr>
              <w:pStyle w:val="Compact"/>
            </w:pPr>
            <w:r>
              <w:t xml:space="preserve">Flow search confirming NTP reachability</w:t>
            </w:r>
          </w:p>
        </w:tc>
        <w:tc>
          <w:tcPr/>
          <w:p>
            <w:pPr>
              <w:pStyle w:val="Compact"/>
            </w:pPr>
            <w:r>
              <w:t xml:space="preserve">Quarterly</w:t>
            </w:r>
          </w:p>
        </w:tc>
      </w:tr>
      <w:tr>
        <w:tc>
          <w:tcPr>
            <w:shd w:val="clear" w:color="auto" w:fill="F2F2F2"/>
          </w:tcPr>
          <w:p>
            <w:pPr>
              <w:pStyle w:val="Compact"/>
            </w:pPr>
            <w:r>
              <w:t xml:space="preserve">Incident sample</w:t>
            </w:r>
          </w:p>
        </w:tc>
        <w:tc>
          <w:tcPr>
            <w:shd w:val="clear" w:color="auto" w:fill="F2F2F2"/>
          </w:tcPr>
          <w:p>
            <w:pPr>
              <w:pStyle w:val="Compact"/>
            </w:pPr>
            <w:r>
              <w:t xml:space="preserve">Workload-level timeline for one representative incident on a validated system</w:t>
            </w:r>
          </w:p>
        </w:tc>
        <w:tc>
          <w:tcPr>
            <w:shd w:val="clear" w:color="auto" w:fill="F2F2F2"/>
          </w:tcPr>
          <w:p>
            <w:pPr>
              <w:pStyle w:val="Compact"/>
            </w:pPr>
            <w:r>
              <w:t xml:space="preserve">Flow + process search</w:t>
            </w:r>
          </w:p>
        </w:tc>
        <w:tc>
          <w:tcPr>
            <w:shd w:val="clear" w:color="auto" w:fill="F2F2F2"/>
          </w:tcPr>
          <w:p>
            <w:pPr>
              <w:pStyle w:val="Compact"/>
            </w:pPr>
            <w:r>
              <w:t xml:space="preserve">Per incident; one representative sample per evaluation cycle</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perform Computer System Validation, does not produce record-level ALCOA+ evidence, provides no electronic-signature capability, and does not supply application-level audit trails. The CSW audit trail covers the segmentation control, not the GxP record. Where CSW is relied upon as a GxP control, the customer’s quality function may require CSW itself to be qualified. GxP is enforced by inspection and nothing here confers compliance.</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GxP Compliance Report</dc:title>
  <dc:creator/>
  <cp:keywords/>
  <dcterms:created xsi:type="dcterms:W3CDTF">2026-10-29T21:56:57Z</dcterms:created>
  <dcterms:modified xsi:type="dcterms:W3CDTF">2026-10-29T21:56:57Z</dcterms:modified>
</cp:coreProperties>
</file>

<file path=docProps/custom.xml><?xml version="1.0" encoding="utf-8"?>
<Properties xmlns="http://schemas.openxmlformats.org/officeDocument/2006/custom-properties" xmlns:vt="http://schemas.openxmlformats.org/officeDocument/2006/docPropsVTypes"/>
</file>