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ee1aa6d1bb772972f4fd999e8243b151cdf2953"/>
    <w:p>
      <w:pPr>
        <w:pStyle w:val="Heading1"/>
      </w:pPr>
      <w:r>
        <w:t xml:space="preserve">Cisco Secure Workload — NIST Cybersecurity Framework 2.0</w:t>
      </w:r>
    </w:p>
    <w:bookmarkStart w:id="9" w:name="X30fa009e211aea81084de1e43dcba6e94c13f43"/>
    <w:p>
      <w:pPr>
        <w:pStyle w:val="Heading2"/>
      </w:pPr>
      <w:r>
        <w:t xml:space="preserve">Technical Runbook | Govern, Identify, Protect, Detect, Respond, Recover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Cybersecurity Framework 2.0 (February 2024)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using CSF 2.0 as their organising framework or as a top-level scorecard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that have adopted the NIST</w:t>
      </w:r>
      <w:r>
        <w:t xml:space="preserve"> </w:t>
      </w:r>
      <w:r>
        <w:t xml:space="preserve">Cybersecurity Framework 2.0 (released February 2024) as their</w:t>
      </w:r>
      <w:r>
        <w:t xml:space="preserve"> </w:t>
      </w:r>
      <w:r>
        <w:t xml:space="preserve">top-level cyber programme reference, or that are reporting CSF</w:t>
      </w:r>
      <w:r>
        <w:t xml:space="preserve"> </w:t>
      </w:r>
      <w:r>
        <w:t xml:space="preserve">posture to their board, regulator, or insurer. CSF 2.0 is not a</w:t>
      </w:r>
      <w:r>
        <w:t xml:space="preserve"> </w:t>
      </w:r>
      <w:r>
        <w:t xml:space="preserve">control catalogue — it's an outcomes framework that</w:t>
      </w:r>
      <w:r>
        <w:t xml:space="preserve"> </w:t>
      </w:r>
      <w:r>
        <w:rPr>
          <w:b/>
          <w:bCs/>
        </w:rPr>
        <w:t xml:space="preserve">wraps</w:t>
      </w:r>
      <w:r>
        <w:t xml:space="preserve"> </w:t>
      </w:r>
      <w:r>
        <w:t xml:space="preserve">control catalogues like NIST 800-53, ISO 27001, CIS Controls, and</w:t>
      </w:r>
      <w:r>
        <w:t xml:space="preserve"> </w:t>
      </w:r>
      <w:r>
        <w:t xml:space="preserve">others through Informative References. The right way to read this</w:t>
      </w:r>
      <w:r>
        <w:t xml:space="preserve"> </w:t>
      </w:r>
      <w:r>
        <w:t xml:space="preserve">runbook is as the "where does CSW evidence land in the CSF</w:t>
      </w:r>
      <w:r>
        <w:t xml:space="preserve"> </w:t>
      </w:r>
      <w:r>
        <w:t xml:space="preserve">narrative" view.</w:t>
      </w:r>
    </w:p>
    <w:p>
      <w:pPr>
        <w:pStyle w:val="BodyText"/>
      </w:pPr>
      <w:r>
        <w:rPr>
          <w:b/>
          <w:bCs/>
        </w:rPr>
        <w:t xml:space="preserve">What changed in CSF 2.0.</w:t>
      </w:r>
      <w:r>
        <w:t xml:space="preserve"> </w:t>
      </w:r>
      <w:r>
        <w:t xml:space="preserve">The headline change from CSF 1.1 is</w:t>
      </w:r>
      <w:r>
        <w:t xml:space="preserve"> </w:t>
      </w:r>
      <w:r>
        <w:t xml:space="preserve">the addition of a sixth Function —</w:t>
      </w:r>
      <w:r>
        <w:t xml:space="preserve"> </w:t>
      </w:r>
      <w:r>
        <w:rPr>
          <w:b/>
          <w:bCs/>
        </w:rPr>
        <w:t xml:space="preserve">Govern (GV)</w:t>
      </w:r>
      <w:r>
        <w:t xml:space="preserve"> </w:t>
      </w:r>
      <w:r>
        <w:t xml:space="preserve">— that sits</w:t>
      </w:r>
      <w:r>
        <w:t xml:space="preserve"> </w:t>
      </w:r>
      <w:r>
        <w:t xml:space="preserve">above Identify, Protect, Detect, Respond, Recover. Govern formalises</w:t>
      </w:r>
      <w:r>
        <w:t xml:space="preserve"> </w:t>
      </w:r>
      <w:r>
        <w:t xml:space="preserve">expectations around organisational context, risk strategy, roles</w:t>
      </w:r>
      <w:r>
        <w:t xml:space="preserve"> </w:t>
      </w:r>
      <w:r>
        <w:t xml:space="preserve">and responsibilities, policy, oversight, and cybersecurity supply</w:t>
      </w:r>
      <w:r>
        <w:t xml:space="preserve"> </w:t>
      </w:r>
      <w:r>
        <w:t xml:space="preserve">chain risk management. CSF 2.0 also reorganises and refines several</w:t>
      </w:r>
      <w:r>
        <w:t xml:space="preserve"> </w:t>
      </w:r>
      <w:r>
        <w:t xml:space="preserve">Categories and Subcategories within the existing five Functions.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GV.OV (Oversight) and GV.SC (Supply Chain): can I produce a</w:t>
      </w:r>
      <w:r>
        <w:rPr>
          <w:i/>
          <w:iCs/>
        </w:rPr>
        <w:t xml:space="preserve"> </w:t>
      </w:r>
      <w:r>
        <w:rPr>
          <w:i/>
          <w:iCs/>
        </w:rPr>
        <w:t xml:space="preserve">recurring evidence pack the management body uses to discharge</w:t>
      </w:r>
      <w:r>
        <w:rPr>
          <w:i/>
          <w:iCs/>
        </w:rPr>
        <w:t xml:space="preserve"> </w:t>
      </w:r>
      <w:r>
        <w:rPr>
          <w:i/>
          <w:iCs/>
        </w:rPr>
        <w:t xml:space="preserve">its governance obligation, with technical detail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green-yellow-red dashboards alone?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ID.AM (Asset Management):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workloads, the software running on them, the data they</w:t>
      </w:r>
      <w:r>
        <w:rPr>
          <w:i/>
          <w:iCs/>
        </w:rPr>
        <w:t xml:space="preserve"> </w:t>
      </w:r>
      <w:r>
        <w:rPr>
          <w:i/>
          <w:iCs/>
        </w:rPr>
        <w:t xml:space="preserve">process, and the systems they depend on, refreshed continuously and</w:t>
      </w:r>
      <w:r>
        <w:rPr>
          <w:i/>
          <w:iCs/>
        </w:rPr>
        <w:t xml:space="preserve"> </w:t>
      </w:r>
      <w:r>
        <w:rPr>
          <w:i/>
          <w:iCs/>
        </w:rPr>
        <w:t xml:space="preserve">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PR.IR (Infrastructure Resilience) and PR.PS (Platform Security):</w:t>
      </w:r>
      <w:r>
        <w:rPr>
          <w:i/>
          <w:iCs/>
        </w:rPr>
        <w:t xml:space="preserve"> </w:t>
      </w:r>
      <w:r>
        <w:rPr>
          <w:i/>
          <w:iCs/>
        </w:rPr>
        <w:t xml:space="preserve">can I demonstrate that network architecture is least-privileged</w:t>
      </w:r>
      <w:r>
        <w:rPr>
          <w:i/>
          <w:iCs/>
        </w:rPr>
        <w:t xml:space="preserve"> </w:t>
      </w:r>
      <w:r>
        <w:rPr>
          <w:i/>
          <w:iCs/>
        </w:rPr>
        <w:t xml:space="preserve">at the workload level (PR.IR-02), that platforms are configured</w:t>
      </w:r>
      <w:r>
        <w:rPr>
          <w:i/>
          <w:iCs/>
        </w:rPr>
        <w:t xml:space="preserve"> </w:t>
      </w:r>
      <w:r>
        <w:rPr>
          <w:i/>
          <w:iCs/>
        </w:rPr>
        <w:t xml:space="preserve">to a baseline (PR.PS-01), and that software is maintained</w:t>
      </w:r>
      <w:r>
        <w:rPr>
          <w:i/>
          <w:iCs/>
        </w:rPr>
        <w:t xml:space="preserve"> </w:t>
      </w:r>
      <w:r>
        <w:rPr>
          <w:i/>
          <w:iCs/>
        </w:rPr>
        <w:t xml:space="preserve">(PR.PS-02)?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DE.CM (Continuous Monitoring): can I prove that workloads are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monitored (DE.CM-09), that the network is monitored</w:t>
      </w:r>
      <w:r>
        <w:rPr>
          <w:i/>
          <w:iCs/>
        </w:rPr>
        <w:t xml:space="preserve"> </w:t>
      </w:r>
      <w:r>
        <w:rPr>
          <w:i/>
          <w:iCs/>
        </w:rPr>
        <w:t xml:space="preserve">(DE.CM-01), and that adverse events are detected with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detail to investigate (DE.AE)?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RS.MI (Incident Mitigation) and RS.AN (Incident Analysis): when</w:t>
      </w:r>
      <w:r>
        <w:rPr>
          <w:i/>
          <w:iCs/>
        </w:rPr>
        <w:t xml:space="preserve"> </w:t>
      </w:r>
      <w:r>
        <w:rPr>
          <w:i/>
          <w:iCs/>
        </w:rPr>
        <w:t xml:space="preserve">an event is declared, can I assemble the forensic context to</w:t>
      </w:r>
      <w:r>
        <w:rPr>
          <w:i/>
          <w:iCs/>
        </w:rPr>
        <w:t xml:space="preserve"> </w:t>
      </w:r>
      <w:r>
        <w:rPr>
          <w:i/>
          <w:iCs/>
        </w:rPr>
        <w:t xml:space="preserve">support analysis and apply containment without the playbook</w:t>
      </w:r>
      <w:r>
        <w:rPr>
          <w:i/>
          <w:iCs/>
        </w:rPr>
        <w:t xml:space="preserve"> </w:t>
      </w:r>
      <w:r>
        <w:rPr>
          <w:i/>
          <w:iCs/>
        </w:rPr>
        <w:t xml:space="preserve">stalling on data-gathering?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RC.RP (Incident Recovery Plan Execution): after recovery, can I</w:t>
      </w:r>
      <w:r>
        <w:rPr>
          <w:i/>
          <w:iCs/>
        </w:rPr>
        <w:t xml:space="preserve"> </w:t>
      </w:r>
      <w:r>
        <w:rPr>
          <w:i/>
          <w:iCs/>
        </w:rPr>
        <w:t xml:space="preserve">show diff between pre-incident and post-incident segmentation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state, demonstrating the control surface actually changed?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CSF Profile (target Tier and</w:t>
      </w:r>
      <w:r>
        <w:t xml:space="preserve"> </w:t>
      </w:r>
      <w:r>
        <w:t xml:space="preserve">prioritised Subcategories), your asset inventory source of truth,</w:t>
      </w:r>
      <w:r>
        <w:t xml:space="preserve"> </w:t>
      </w:r>
      <w:r>
        <w:t xml:space="preserve">your incident response process, and the SIEM destination for log</w:t>
      </w:r>
      <w:r>
        <w:t xml:space="preserve"> </w:t>
      </w:r>
      <w:r>
        <w:t xml:space="preserve">forwarding. CSW augments these; it does not author the Profile.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CSF Profile; sections 3–4 for the scope tree and the policy set that</w:t>
      </w:r>
      <w:r>
        <w:t xml:space="preserve"> </w:t>
      </w:r>
      <w:r>
        <w:t xml:space="preserve">make the Protect outcomes demonstrable; section 5 if Govern is the new</w:t>
      </w:r>
      <w:r>
        <w:t xml:space="preserve"> </w:t>
      </w:r>
      <w:r>
        <w:t xml:space="preserve">gap (most common post-2.0 question); sections 6–10 walk Identify</w:t>
      </w:r>
      <w:r>
        <w:t xml:space="preserve"> </w:t>
      </w:r>
      <w:r>
        <w:t xml:space="preserve">through Recover mapped to CSW.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Govern (GV.OV/GV.SC) + ID.AM, PR.IR, DE.CM, RS.AN subcategories</w:t>
      </w:r>
    </w:p>
    <w:p>
      <w:pPr>
        <w:pStyle w:val="Compact"/>
        <w:numPr>
          <w:ilvl w:val="0"/>
          <w:numId w:val="1018"/>
        </w:numPr>
      </w:pPr>
      <w:r>
        <w:t xml:space="preserve">Outcomes wrapper aligned to 800-53 evidence underneath</w:t>
      </w:r>
    </w:p>
    <w:p>
      <w:pPr>
        <w:pStyle w:val="Compact"/>
        <w:numPr>
          <w:ilvl w:val="0"/>
          <w:numId w:val="1018"/>
        </w:numPr>
      </w:pPr>
      <w:r>
        <w:t xml:space="preserve">Continuous vs. periodic evidence for CSF maturity conversations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CSF 2.0 organises cybersecurity outcomes across six Functions, 22</w:t>
      </w:r>
      <w:r>
        <w:t xml:space="preserve"> </w:t>
      </w:r>
      <w:r>
        <w:t xml:space="preserve">Categories, and 106 Subcategories: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Establish, communicate, monitor cybersecurity strategy</w:t>
            </w:r>
          </w:p>
        </w:tc>
        <w:tc>
          <w:tcPr/>
          <w:p>
            <w:pPr>
              <w:pStyle w:val="Compact"/>
            </w:pPr>
            <w:r>
              <w:t xml:space="preserve">Supporting (evidence to management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Asset, risk, supply chain understanding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(asset management, risk assessment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Safeguards limiting/containing 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(infrastructure resilience, platform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Find and analyse adverse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(continuous monitoring, adverse event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Take action to contain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(incident analysis, mitigation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Restore assets and operations</w:t>
            </w:r>
          </w:p>
        </w:tc>
        <w:tc>
          <w:tcPr/>
          <w:p>
            <w:pPr>
              <w:pStyle w:val="Compact"/>
            </w:pPr>
            <w:r>
              <w:t xml:space="preserve">Supporting (post-recovery diff evidence)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— the short version.</w:t>
      </w:r>
      <w:r>
        <w:t xml:space="preserve"> </w:t>
      </w:r>
      <w:r>
        <w:t xml:space="preserve">CSW is the workload-tier</w:t>
      </w:r>
      <w:r>
        <w:t xml:space="preserve"> </w:t>
      </w:r>
      <w:r>
        <w:t xml:space="preserve">evidence engine for the technical Subcategories under Identify</w:t>
      </w:r>
      <w:r>
        <w:t xml:space="preserve"> </w:t>
      </w:r>
      <w:r>
        <w:t xml:space="preserve">(asset management, risk assessment of workloads), Protect</w:t>
      </w:r>
      <w:r>
        <w:t xml:space="preserve"> </w:t>
      </w:r>
      <w:r>
        <w:t xml:space="preserve">(platform security, infrastructure resilience), Detect (continuous</w:t>
      </w:r>
      <w:r>
        <w:t xml:space="preserve"> </w:t>
      </w:r>
      <w:r>
        <w:t xml:space="preserve">monitoring, adverse event analysis), and Respond (analysis,</w:t>
      </w:r>
      <w:r>
        <w:t xml:space="preserve"> </w:t>
      </w:r>
      <w:r>
        <w:t xml:space="preserve">mitigation). Govern and Recover are organisational/process</w:t>
      </w:r>
      <w:r>
        <w:t xml:space="preserve"> </w:t>
      </w:r>
      <w:r>
        <w:t xml:space="preserve">Functions where CSW supplies inputs (evidence packs, post-incident</w:t>
      </w:r>
      <w:r>
        <w:t xml:space="preserve"> </w:t>
      </w:r>
      <w:r>
        <w:t xml:space="preserve">diffs) but is not the primary control.</w:t>
      </w:r>
    </w:p>
    <w:p>
      <w:pPr>
        <w:pStyle w:val="BodyText"/>
      </w:pPr>
      <w:r>
        <w:rPr>
          <w:b/>
          <w:bCs/>
        </w:rPr>
        <w:t xml:space="preserve">CSF 2.0 vocabulary recap.</w:t>
      </w:r>
      <w:r>
        <w:t xml:space="preserve"> </w:t>
      </w:r>
      <w:r>
        <w:t xml:space="preserve">Each Subcategory is identified as</w:t>
      </w:r>
      <w:r>
        <w:t xml:space="preserve"> </w:t>
      </w:r>
      <w:r>
        <w:rPr>
          <w:rStyle w:val="VerbatimChar"/>
        </w:rPr>
        <w:t xml:space="preserve">FUNCTION.CATEGORY-NN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PR.IR-02</w:t>
      </w:r>
      <w:r>
        <w:t xml:space="preserve">). Some Subcategories carry</w:t>
      </w:r>
      <w:r>
        <w:t xml:space="preserve"> </w:t>
      </w:r>
      <w:r>
        <w:t xml:space="preserve">implementation examples; the framework remains</w:t>
      </w:r>
      <w:r>
        <w:t xml:space="preserve"> </w:t>
      </w:r>
      <w:r>
        <w:rPr>
          <w:i/>
          <w:iCs/>
        </w:rPr>
        <w:t xml:space="preserve">outcomes-focused</w:t>
      </w:r>
      <w:r>
        <w:t xml:space="preserve"> </w:t>
      </w:r>
      <w:r>
        <w:t xml:space="preserve">and explicitly defers to your Profile to scope what's in/out and</w:t>
      </w:r>
      <w:r>
        <w:t xml:space="preserve"> </w:t>
      </w:r>
      <w:r>
        <w:t xml:space="preserve">what depth is expected.</w:t>
      </w:r>
    </w:p>
    <w:p>
      <w:r>
        <w:pict>
          <v:rect style="width:0;height:1.5pt" o:hralign="center" o:hrstd="t" o:hr="t"/>
        </w:pict>
      </w:r>
    </w:p>
    <w:bookmarkEnd w:id="21"/>
    <w:bookmarkStart w:id="22" w:name="X7c2d4d9865b41f2e1442c8444efb1c9889da993"/>
    <w:p>
      <w:pPr>
        <w:pStyle w:val="Heading2"/>
      </w:pPr>
      <w:r>
        <w:t xml:space="preserve">2. Profile and Tier Calibration</w:t>
      </w:r>
    </w:p>
    <w:p>
      <w:pPr>
        <w:pStyle w:val="FirstParagraph"/>
      </w:pPr>
      <w:r>
        <w:t xml:space="preserve">CSF 2.0 expects organisations to develop a Current Profile, a</w:t>
      </w:r>
      <w:r>
        <w:t xml:space="preserve"> </w:t>
      </w:r>
      <w:r>
        <w:t xml:space="preserve">Target Profile, and to track progress between them. CSW labelling</w:t>
      </w:r>
      <w:r>
        <w:t xml:space="preserve"> </w:t>
      </w:r>
      <w:r>
        <w:t xml:space="preserve">should reflect the Profile so evidence aggregates per Subcategory.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Apply CSF context labels to every CSW-managed workload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csf_tier:          partial | risk-informed | repeatable | adaptive</w:t>
      </w:r>
      <w:r>
        <w:br/>
      </w:r>
      <w:r>
        <w:rPr>
          <w:rStyle w:val="VerbatimChar"/>
        </w:rPr>
        <w:t xml:space="preserve">    business_function: [function the workload supports]</w:t>
      </w:r>
      <w:r>
        <w:br/>
      </w:r>
      <w:r>
        <w:rPr>
          <w:rStyle w:val="VerbatimChar"/>
        </w:rPr>
        <w:t xml:space="preserve">    data_class:        public | internal | confidential | regulated</w:t>
      </w:r>
      <w:r>
        <w:br/>
      </w:r>
      <w:r>
        <w:rPr>
          <w:rStyle w:val="VerbatimChar"/>
        </w:rPr>
        <w:t xml:space="preserve">    crit_band:         crown-jewel | high | medium | low</w:t>
      </w:r>
      <w:r>
        <w:br/>
      </w:r>
      <w:r>
        <w:rPr>
          <w:rStyle w:val="VerbatimChar"/>
        </w:rPr>
        <w:t xml:space="preserve">    profile_scope:     in-target | not-in-target</w:t>
      </w:r>
      <w:r>
        <w:br/>
      </w:r>
      <w:r>
        <w:br/>
      </w:r>
      <w:r>
        <w:rPr>
          <w:rStyle w:val="VerbatimChar"/>
        </w:rPr>
        <w:t xml:space="preserve">Step 2: Build CSW Scopes per (csf_tier, crit_band)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Scopes become the unit of evidence aggregation per Subcategory</w:t>
      </w:r>
      <w:r>
        <w:br/>
      </w:r>
      <w:r>
        <w:br/>
      </w:r>
      <w:r>
        <w:rPr>
          <w:rStyle w:val="VerbatimChar"/>
        </w:rPr>
        <w:t xml:space="preserve">Step 3: Schedule Subcategory-aligned evidence pulls</w:t>
      </w:r>
      <w:r>
        <w:br/>
      </w:r>
      <w:r>
        <w:rPr>
          <w:rStyle w:val="VerbatimChar"/>
        </w:rPr>
        <w:t xml:space="preserve">  → Inventory snapshot per ID.AM cadence</w:t>
      </w:r>
      <w:r>
        <w:br/>
      </w:r>
      <w:r>
        <w:rPr>
          <w:rStyle w:val="VerbatimChar"/>
        </w:rPr>
        <w:t xml:space="preserve">  → Vulnerability list per ID.RA cadence</w:t>
      </w:r>
      <w:r>
        <w:br/>
      </w:r>
      <w:r>
        <w:rPr>
          <w:rStyle w:val="VerbatimChar"/>
        </w:rPr>
        <w:t xml:space="preserve">  → Drift report per PR.PS cadence</w:t>
      </w:r>
      <w:r>
        <w:br/>
      </w:r>
      <w:r>
        <w:rPr>
          <w:rStyle w:val="VerbatimChar"/>
        </w:rPr>
        <w:t xml:space="preserve">  → Detection summary per DE.CM cadence</w:t>
      </w:r>
      <w:r>
        <w:br/>
      </w:r>
      <w:r>
        <w:rPr>
          <w:rStyle w:val="VerbatimChar"/>
        </w:rPr>
        <w:t xml:space="preserve">  → Incident dossier per RS.AN format</w:t>
      </w:r>
    </w:p>
    <w:p>
      <w:r>
        <w:pict>
          <v:rect style="width:0;height:1.5pt" o:hralign="center" o:hrstd="t" o:hr="t"/>
        </w:pict>
      </w:r>
    </w:p>
    <w:bookmarkEnd w:id="22"/>
    <w:bookmarkStart w:id="26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Section 2 sets the Profile labels. This section turns them into the scope</w:t>
      </w:r>
      <w:r>
        <w:t xml:space="preserve"> </w:t>
      </w:r>
      <w:r>
        <w:t xml:space="preserve">tree that the Identify and Protect functions are assessed against. The</w:t>
      </w:r>
      <w:r>
        <w:t xml:space="preserve"> </w:t>
      </w:r>
      <w:r>
        <w:t xml:space="preserve">tree is the direct evidence artifact for</w:t>
      </w:r>
      <w:r>
        <w:t xml:space="preserve"> </w:t>
      </w:r>
      <w:r>
        <w:rPr>
          <w:b/>
          <w:bCs/>
        </w:rPr>
        <w:t xml:space="preserve">ID.AM-03</w:t>
      </w:r>
      <w:r>
        <w:t xml:space="preserve"> </w:t>
      </w:r>
      <w:r>
        <w:t xml:space="preserve">— representations of</w:t>
      </w:r>
      <w:r>
        <w:t xml:space="preserve"> </w:t>
      </w:r>
      <w:r>
        <w:t xml:space="preserve">authorized network communication and internal and external data flows —</w:t>
      </w:r>
      <w:r>
        <w:t xml:space="preserve"> </w:t>
      </w:r>
      <w:r>
        <w:t xml:space="preserve">which is the Subcategory most organisations satisfy with a stale Visio</w:t>
      </w:r>
      <w:r>
        <w:t xml:space="preserve"> </w:t>
      </w:r>
      <w:r>
        <w:t xml:space="preserve">diagram.</w:t>
      </w:r>
    </w:p>
    <w:bookmarkStart w:id="23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Enterprise</w:t>
      </w:r>
      <w:r>
        <w:br/>
      </w:r>
      <w:r>
        <w:rPr>
          <w:rStyle w:val="VerbatimChar"/>
        </w:rPr>
        <w:t xml:space="preserve">    ├── Crown-Jewel-Systems               (crit_band = crown-jewel)</w:t>
      </w:r>
      <w:r>
        <w:br/>
      </w:r>
      <w:r>
        <w:rPr>
          <w:rStyle w:val="VerbatimChar"/>
        </w:rPr>
        <w:t xml:space="preserve">    │   ├── Business-Critical-Applications</w:t>
      </w:r>
      <w:r>
        <w:br/>
      </w:r>
      <w:r>
        <w:rPr>
          <w:rStyle w:val="VerbatimChar"/>
        </w:rPr>
        <w:t xml:space="preserve">    │   └── Critical-Data-Stores</w:t>
      </w:r>
      <w:r>
        <w:br/>
      </w:r>
      <w:r>
        <w:rPr>
          <w:rStyle w:val="VerbatimChar"/>
        </w:rPr>
        <w:t xml:space="preserve">    ├── Business-Applications</w:t>
      </w:r>
      <w:r>
        <w:br/>
      </w:r>
      <w:r>
        <w:rPr>
          <w:rStyle w:val="VerbatimChar"/>
        </w:rPr>
        <w:t xml:space="preserve">    │   ├── External-Facing</w:t>
      </w:r>
      <w:r>
        <w:br/>
      </w:r>
      <w:r>
        <w:rPr>
          <w:rStyle w:val="VerbatimChar"/>
        </w:rPr>
        <w:t xml:space="preserve">    │   └── Internal-Facing</w:t>
      </w:r>
      <w:r>
        <w:br/>
      </w:r>
      <w:r>
        <w:rPr>
          <w:rStyle w:val="VerbatimChar"/>
        </w:rPr>
        <w:t xml:space="preserve">    ├── Shared-Infrastructure</w:t>
      </w:r>
      <w:r>
        <w:br/>
      </w:r>
      <w:r>
        <w:rPr>
          <w:rStyle w:val="VerbatimChar"/>
        </w:rPr>
        <w:t xml:space="preserve">    │   ├── Identity-Services</w:t>
      </w:r>
      <w:r>
        <w:br/>
      </w:r>
      <w:r>
        <w:rPr>
          <w:rStyle w:val="VerbatimChar"/>
        </w:rPr>
        <w:t xml:space="preserve">    │   └── Logging-and-Monitoring</w:t>
      </w:r>
      <w:r>
        <w:br/>
      </w:r>
      <w:r>
        <w:rPr>
          <w:rStyle w:val="VerbatimChar"/>
        </w:rPr>
        <w:t xml:space="preserve">    ├── Privileged-Access-Paths</w:t>
      </w:r>
      <w:r>
        <w:br/>
      </w:r>
      <w:r>
        <w:rPr>
          <w:rStyle w:val="VerbatimChar"/>
        </w:rPr>
        <w:t xml:space="preserve">    └── Third-Party-Connectivity</w:t>
      </w:r>
    </w:p>
    <w:p>
      <w:pPr>
        <w:pStyle w:val="FirstParagraph"/>
      </w:pPr>
      <w:r>
        <w:t xml:space="preserve">Mirror</w:t>
      </w:r>
      <w:r>
        <w:t xml:space="preserve"> </w:t>
      </w:r>
      <w:r>
        <w:rPr>
          <w:rStyle w:val="VerbatimChar"/>
        </w:rPr>
        <w:t xml:space="preserve">crit_band</w:t>
      </w:r>
      <w:r>
        <w:t xml:space="preserve"> </w:t>
      </w:r>
      <w:r>
        <w:t xml:space="preserve">onto the top-level branches rather than inventing a</w:t>
      </w:r>
      <w:r>
        <w:t xml:space="preserve"> </w:t>
      </w:r>
      <w:r>
        <w:t xml:space="preserve">second criticality vocabulary. The Profile in section 2 is what the</w:t>
      </w:r>
      <w:r>
        <w:t xml:space="preserve"> </w:t>
      </w:r>
      <w:r>
        <w:t xml:space="preserve">Govern function reports against, so a scope tree that disagrees with it</w:t>
      </w:r>
      <w:r>
        <w:t xml:space="preserve"> </w:t>
      </w:r>
      <w:r>
        <w:t xml:space="preserve">produces two different answers to the same risk question.</w:t>
      </w:r>
    </w:p>
    <w:bookmarkEnd w:id="23"/>
    <w:bookmarkStart w:id="24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Crown-Jewel-Systems</w:t>
      </w:r>
      <w:r>
        <w:br/>
      </w:r>
      <w:r>
        <w:rPr>
          <w:rStyle w:val="VerbatimChar"/>
        </w:rPr>
        <w:t xml:space="preserve">  - Tag: crit_band = crown-jewel</w:t>
      </w:r>
      <w:r>
        <w:br/>
      </w:r>
      <w:r>
        <w:rPr>
          <w:rStyle w:val="VerbatimChar"/>
        </w:rPr>
        <w:t xml:space="preserve">  - Tag: business_function matches the Target Profile priority list</w:t>
      </w:r>
      <w:r>
        <w:br/>
      </w:r>
      <w:r>
        <w:br/>
      </w:r>
      <w:r>
        <w:rPr>
          <w:rStyle w:val="VerbatimChar"/>
        </w:rPr>
        <w:t xml:space="preserve">Filter: Critical-Data-Stores</w:t>
      </w:r>
      <w:r>
        <w:br/>
      </w:r>
      <w:r>
        <w:rPr>
          <w:rStyle w:val="VerbatimChar"/>
        </w:rPr>
        <w:t xml:space="preserve">  - Tag: data_class = regulated | confidential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Third-Party-Connectivity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vendor | service-provider</w:t>
      </w:r>
      <w:r>
        <w:br/>
      </w:r>
      <w:r>
        <w:br/>
      </w:r>
      <w:r>
        <w:rPr>
          <w:rStyle w:val="VerbatimChar"/>
        </w:rPr>
        <w:t xml:space="preserve">Filter: Profile-Gap-Candidates</w:t>
      </w:r>
      <w:r>
        <w:br/>
      </w:r>
      <w:r>
        <w:rPr>
          <w:rStyle w:val="VerbatimChar"/>
        </w:rPr>
        <w:t xml:space="preserve">  - Tag: profile_scope = in-target</w:t>
      </w:r>
      <w:r>
        <w:br/>
      </w:r>
      <w:r>
        <w:rPr>
          <w:rStyle w:val="VerbatimChar"/>
        </w:rPr>
        <w:t xml:space="preserve">  - No enforcing policy workspace covering the workload</w:t>
      </w:r>
    </w:p>
    <w:p>
      <w:pPr>
        <w:pStyle w:val="FirstParagraph"/>
      </w:pPr>
      <w:r>
        <w:rPr>
          <w:rStyle w:val="VerbatimChar"/>
        </w:rPr>
        <w:t xml:space="preserve">Profile-Gap-Candidates</w:t>
      </w:r>
      <w:r>
        <w:t xml:space="preserve"> </w:t>
      </w:r>
      <w:r>
        <w:t xml:space="preserve">is the filter that makes CSF progress tracking</w:t>
      </w:r>
      <w:r>
        <w:t xml:space="preserve"> </w:t>
      </w:r>
      <w:r>
        <w:t xml:space="preserve">mechanical: it returns exactly the workloads the Target Profile claims</w:t>
      </w:r>
      <w:r>
        <w:t xml:space="preserve"> </w:t>
      </w:r>
      <w:r>
        <w:t xml:space="preserve">will be protected but which no enforced policy currently covers.</w:t>
      </w:r>
    </w:p>
    <w:bookmarkEnd w:id="24"/>
    <w:bookmarkStart w:id="25" w:name="X7f182565d226d136c9b8bbdffe85c48c1ab67f5"/>
    <w:p>
      <w:pPr>
        <w:pStyle w:val="Heading3"/>
      </w:pPr>
      <w:r>
        <w:t xml:space="preserve">3.3 Labeling Strategy</w:t>
      </w:r>
    </w:p>
    <w:p>
      <w:pPr>
        <w:pStyle w:val="FirstParagraph"/>
      </w:pPr>
      <w:r>
        <w:t xml:space="preserve">The five keys from section 2 carry the Profile; the rest below make the</w:t>
      </w:r>
      <w:r>
        <w:t xml:space="preserve"> </w:t>
      </w:r>
      <w:r>
        <w:t xml:space="preserve">Protect and Detect Subcategories queryable.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CSF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csf_tier</w:t>
            </w:r>
          </w:p>
        </w:tc>
        <w:tc>
          <w:tcPr/>
          <w:p>
            <w:pPr>
              <w:pStyle w:val="Compact"/>
            </w:pPr>
            <w:r>
              <w:t xml:space="preserve">partial, risk-informed, repeatable, adaptive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Governance tier the workload's evidence supports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Ties technical evidence to the Govern function's business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public, internal, confidential, regulated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PR.DS scope membership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crit_band</w:t>
            </w:r>
          </w:p>
        </w:tc>
        <w:tc>
          <w:tcPr/>
          <w:p>
            <w:pPr>
              <w:pStyle w:val="Compact"/>
            </w:pPr>
            <w:r>
              <w:t xml:space="preserve">crown-jewel, high, medium, 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Drives scope placement and enforcement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profile_scope</w:t>
            </w:r>
          </w:p>
        </w:tc>
        <w:tc>
          <w:tcPr/>
          <w:p>
            <w:pPr>
              <w:pStyle w:val="Compact"/>
            </w:pPr>
            <w:r>
              <w:t xml:space="preserve">in-target, not-in-target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Separates Current Profile reality from Target Profile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dependency_tier</w:t>
            </w:r>
          </w:p>
        </w:tc>
        <w:tc>
          <w:tcPr/>
          <w:p>
            <w:pPr>
              <w:pStyle w:val="Compact"/>
            </w:pPr>
            <w:r>
              <w:t xml:space="preserve">edge, app, data, shared</w:t>
            </w:r>
          </w:p>
        </w:tc>
        <w:tc>
          <w:tcPr/>
          <w:p>
            <w:pPr>
              <w:pStyle w:val="Compact"/>
            </w:pPr>
            <w:r>
              <w:t xml:space="preserve">Makes the ID.AM-03 flow representation readable per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recovery_tier</w:t>
            </w:r>
          </w:p>
        </w:tc>
        <w:tc>
          <w:tcPr/>
          <w:p>
            <w:pPr>
              <w:pStyle w:val="Compact"/>
            </w:pPr>
            <w:r>
              <w:t xml:space="preserve">rto-critical, rto-standard</w:t>
            </w:r>
          </w:p>
        </w:tc>
        <w:tc>
          <w:tcPr/>
          <w:p>
            <w:pPr>
              <w:pStyle w:val="Compact"/>
            </w:pPr>
            <w:r>
              <w:t xml:space="preserve">RC.RP sequencing — which scopes come back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nist-csf-2</w:t>
            </w:r>
          </w:p>
        </w:tc>
        <w:tc>
          <w:tcPr/>
          <w:p>
            <w:pPr>
              <w:pStyle w:val="Compact"/>
            </w:pPr>
            <w:r>
              <w:t xml:space="preserve">Filters CSW evidence to the CSF assessment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4cbc7a361d8f950f463bcdc21f13a3b06b746fb"/>
    <w:p>
      <w:pPr>
        <w:pStyle w:val="Heading2"/>
      </w:pPr>
      <w:r>
        <w:t xml:space="preserve">4. Policy Design — PR.IR and PR.AA Enforcement</w:t>
      </w:r>
    </w:p>
    <w:p>
      <w:pPr>
        <w:pStyle w:val="FirstParagraph"/>
      </w:pPr>
      <w:r>
        <w:t xml:space="preserve">CSF 2.0 is outcome-based rather than prescriptive, so the policy set is</w:t>
      </w:r>
      <w:r>
        <w:t xml:space="preserve"> </w:t>
      </w:r>
      <w:r>
        <w:t xml:space="preserve">not a checklist item — it is the mechanism by which several Protect</w:t>
      </w:r>
      <w:r>
        <w:t xml:space="preserve"> </w:t>
      </w:r>
      <w:r>
        <w:t xml:space="preserve">Subcategories become demonstrable. Write it so each rule maps to a</w:t>
      </w:r>
      <w:r>
        <w:t xml:space="preserve"> </w:t>
      </w:r>
      <w:r>
        <w:t xml:space="preserve">Subcategory an assessor can name.</w:t>
      </w:r>
    </w:p>
    <w:bookmarkStart w:id="27" w:name="Xd7cb529a66fe1e7a84ebb034f0046115b78ed05"/>
    <w:p>
      <w:pPr>
        <w:pStyle w:val="Heading3"/>
      </w:pPr>
      <w:r>
        <w:t xml:space="preserve">4.1 Subcategory-Aligned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 → Crown-Jewel-Systems      (default deny inbound — PR.IR-01)</w:t>
      </w:r>
      <w:r>
        <w:br/>
      </w:r>
      <w:r>
        <w:rPr>
          <w:rStyle w:val="VerbatimChar"/>
        </w:rPr>
        <w:t xml:space="preserve">DENY  Crown-Jewel-Systems         → Internet                 (no direct egress from crown jewels)</w:t>
      </w:r>
      <w:r>
        <w:br/>
      </w:r>
      <w:r>
        <w:rPr>
          <w:rStyle w:val="VerbatimChar"/>
        </w:rPr>
        <w:t xml:space="preserve">DENY  Third-Party-Connectivity    → Crown-Jewel-Systems      (vendor paths terminate short of crown jewels)</w:t>
      </w:r>
      <w:r>
        <w:br/>
      </w:r>
      <w:r>
        <w:rPr>
          <w:rStyle w:val="VerbatimChar"/>
        </w:rPr>
        <w:t xml:space="preserve">DENY  Business-Applications       → Crown-Jewel-Systems      (promotion only via documented interfaces)</w:t>
      </w:r>
    </w:p>
    <w:p>
      <w:pPr>
        <w:pStyle w:val="FirstParagraph"/>
      </w:pPr>
      <w:r>
        <w:rPr>
          <w:b/>
          <w:bCs/>
        </w:rPr>
        <w:t xml:space="preserve">Allowlist policies (least privilege — PR.AA-05):</w:t>
      </w:r>
    </w:p>
    <w:p>
      <w:pPr>
        <w:pStyle w:val="SourceCode"/>
      </w:pPr>
      <w:r>
        <w:rPr>
          <w:rStyle w:val="VerbatimChar"/>
        </w:rPr>
        <w:t xml:space="preserve">ALLOW External-Facing             → Internal-Facing          tcp/443</w:t>
      </w:r>
      <w:r>
        <w:br/>
      </w:r>
      <w:r>
        <w:rPr>
          <w:rStyle w:val="VerbatimChar"/>
        </w:rPr>
        <w:t xml:space="preserve">ALLOW Internal-Facing             → Critical-Data-Stores     tcp/&lt;db-port-tls&gt;</w:t>
      </w:r>
      <w:r>
        <w:br/>
      </w:r>
      <w:r>
        <w:rPr>
          <w:rStyle w:val="VerbatimChar"/>
        </w:rPr>
        <w:t xml:space="preserve">ALLOW Crown-Jewel-Systems         → Identity-Services        tcp/636, tcp/88</w:t>
      </w:r>
      <w:r>
        <w:br/>
      </w:r>
      <w:r>
        <w:rPr>
          <w:rStyle w:val="VerbatimChar"/>
        </w:rPr>
        <w:t xml:space="preserve">ALLOW Privileged-Access-Paths     → Crown-Jewel-Systems      tcp/22, tcp/3389</w:t>
      </w:r>
      <w:r>
        <w:br/>
      </w:r>
      <w:r>
        <w:rPr>
          <w:rStyle w:val="VerbatimChar"/>
        </w:rPr>
        <w:t xml:space="preserve">ALLOW Enterprise                  → Logging-and-Monitoring   tcp/443, udp/514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 → Crown-Jewel-Systems      (unmatched inbound — DE.CM-01)</w:t>
      </w:r>
      <w:r>
        <w:br/>
      </w:r>
      <w:r>
        <w:rPr>
          <w:rStyle w:val="VerbatimChar"/>
        </w:rPr>
        <w:t xml:space="preserve">LOG   Crown-Jewel-Systems         → Any                      (unmatched outbound — DE.CM-01)</w:t>
      </w:r>
      <w:r>
        <w:br/>
      </w:r>
      <w:r>
        <w:rPr>
          <w:rStyle w:val="VerbatimChar"/>
        </w:rPr>
        <w:t xml:space="preserve">LOG   Enterprise                  → Any                      (plaintext: tcp/80, tcp/21, tcp/23, tcp/389, udp/161)</w:t>
      </w:r>
    </w:p>
    <w:bookmarkEnd w:id="27"/>
    <w:bookmarkStart w:id="28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bookmarkEnd w:id="28"/>
    <w:bookmarkStart w:id="29" w:name="X9e3cddda90623bcd393016e32c746c98f078028"/>
    <w:p>
      <w:pPr>
        <w:pStyle w:val="Heading3"/>
      </w:pPr>
      <w:r>
        <w:t xml:space="preserve">4.3 Policy State as Profile Progress</w:t>
      </w:r>
    </w:p>
    <w:p>
      <w:pPr>
        <w:pStyle w:val="FirstParagraph"/>
      </w:pPr>
      <w:r>
        <w:t xml:space="preserve">The Current-to-Target Profile delta is usually tracked in a spreadsheet</w:t>
      </w:r>
      <w:r>
        <w:t xml:space="preserve"> </w:t>
      </w:r>
      <w:r>
        <w:t xml:space="preserve">that ages immediately. Policy state is a better source because it cannot</w:t>
      </w:r>
      <w:r>
        <w:t xml:space="preserve"> </w:t>
      </w:r>
      <w:r>
        <w:t xml:space="preserve">drift from reality: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state for a scope</w:t>
            </w:r>
          </w:p>
        </w:tc>
        <w:tc>
          <w:tcPr/>
          <w:p>
            <w:pPr>
              <w:pStyle w:val="Compact"/>
            </w:pPr>
            <w:r>
              <w:t xml:space="preserve">Current Profile reality</w:t>
            </w:r>
          </w:p>
        </w:tc>
        <w:tc>
          <w:tcPr/>
          <w:p>
            <w:pPr>
              <w:pStyle w:val="Compact"/>
            </w:pPr>
            <w:r>
              <w:t xml:space="preserve">Subcategory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workspace</w:t>
            </w:r>
          </w:p>
        </w:tc>
        <w:tc>
          <w:tcPr/>
          <w:p>
            <w:pPr>
              <w:pStyle w:val="Compact"/>
            </w:pPr>
            <w:r>
              <w:t xml:space="preserve">ID.AM-03 partially met at best</w:t>
            </w:r>
          </w:p>
        </w:tc>
        <w:tc>
          <w:tcPr/>
          <w:p>
            <w:pPr>
              <w:pStyle w:val="Compact"/>
            </w:pPr>
            <w:r>
              <w:t xml:space="preserve">ADM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Protect outcomes designed, not achieved</w:t>
            </w:r>
          </w:p>
        </w:tc>
        <w:tc>
          <w:tcPr/>
          <w:p>
            <w:pPr>
              <w:pStyle w:val="Compact"/>
            </w:pPr>
            <w:r>
              <w:t xml:space="preserve">Policy export + simulation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Enforced, deny-by-default inbound</w:t>
            </w:r>
          </w:p>
        </w:tc>
        <w:tc>
          <w:tcPr/>
          <w:p>
            <w:pPr>
              <w:pStyle w:val="Compact"/>
            </w:pPr>
            <w:r>
              <w:t xml:space="preserve">PR.IR-01 and PR.AA-05 demonstrable</w:t>
            </w:r>
          </w:p>
        </w:tc>
        <w:tc>
          <w:tcPr/>
          <w:p>
            <w:pPr>
              <w:pStyle w:val="Compact"/>
            </w:pPr>
            <w:r>
              <w:t xml:space="preserve">Policy export + Denied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Enforced with pre-staged containment rules</w:t>
            </w:r>
          </w:p>
        </w:tc>
        <w:tc>
          <w:tcPr/>
          <w:p>
            <w:pPr>
              <w:pStyle w:val="Compact"/>
            </w:pPr>
            <w:r>
              <w:t xml:space="preserve">RS.MI-01 / RS.MI-02 demonstrable</w:t>
            </w:r>
          </w:p>
        </w:tc>
        <w:tc>
          <w:tcPr/>
          <w:p>
            <w:pPr>
              <w:pStyle w:val="Compact"/>
            </w:pPr>
            <w:r>
              <w:t xml:space="preserve">Containment policy + exercise record</w:t>
            </w:r>
          </w:p>
        </w:tc>
      </w:tr>
    </w:tbl>
    <w:p>
      <w:pPr>
        <w:pStyle w:val="BodyText"/>
      </w:pPr>
      <w:r>
        <w:t xml:space="preserve">Pre-staging containment rules in a disabled workspace is worth calling out</w:t>
      </w:r>
      <w:r>
        <w:t xml:space="preserve"> </w:t>
      </w:r>
      <w:r>
        <w:t xml:space="preserve">to the assessor: it converts RS.MI from a written procedure into a tested</w:t>
      </w:r>
      <w:r>
        <w:t xml:space="preserve"> </w:t>
      </w:r>
      <w:r>
        <w:t xml:space="preserve">capability with a measurable activation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a889565cecbba9a102ac80246131220b00a97b"/>
    <w:p>
      <w:pPr>
        <w:pStyle w:val="Heading2"/>
      </w:pPr>
      <w:r>
        <w:t xml:space="preserve">5. Govern (GV) — Organisational Context, Strategy, Oversight</w:t>
      </w:r>
    </w:p>
    <w:p>
      <w:pPr>
        <w:pStyle w:val="FirstParagraph"/>
      </w:pPr>
      <w:r>
        <w:t xml:space="preserve">GV is the new Function in CSF 2.0. CSW does not establish strategy</w:t>
      </w:r>
      <w:r>
        <w:t xml:space="preserve"> </w:t>
      </w:r>
      <w:r>
        <w:t xml:space="preserve">or assign roles. It contributes by supplying the</w:t>
      </w:r>
      <w:r>
        <w:t xml:space="preserve"> </w:t>
      </w:r>
      <w:r>
        <w:rPr>
          <w:i/>
          <w:iCs/>
        </w:rPr>
        <w:t xml:space="preserve">technical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pack</w:t>
      </w:r>
      <w:r>
        <w:t xml:space="preserve"> </w:t>
      </w:r>
      <w:r>
        <w:t xml:space="preserve">the management body needs to discharge GV.OV (Oversight) and</w:t>
      </w:r>
      <w:r>
        <w:t xml:space="preserve"> </w:t>
      </w:r>
      <w:r>
        <w:t xml:space="preserve">GV.SC (Supply Chain) responsibilities credibly.</w:t>
      </w:r>
    </w:p>
    <w:p>
      <w:pPr>
        <w:pStyle w:val="BodyText"/>
      </w:pPr>
      <w:r>
        <w:rPr>
          <w:b/>
          <w:bCs/>
        </w:rPr>
        <w:t xml:space="preserve">Subcategories where CSW supplies 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</w:t>
            </w:r>
          </w:p>
        </w:tc>
        <w:tc>
          <w:tcPr/>
          <w:p>
            <w:pPr>
              <w:pStyle w:val="Compact"/>
            </w:pPr>
            <w:r>
              <w:t xml:space="preserve">Cybersecurity strategy outcomes are reviewed</w:t>
            </w:r>
          </w:p>
        </w:tc>
        <w:tc>
          <w:tcPr/>
          <w:p>
            <w:pPr>
              <w:pStyle w:val="Compact"/>
            </w:pPr>
            <w:r>
              <w:t xml:space="preserve">Quarterly evidence pack feeding the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GV.OV-02</w:t>
            </w:r>
          </w:p>
        </w:tc>
        <w:tc>
          <w:tcPr/>
          <w:p>
            <w:pPr>
              <w:pStyle w:val="Compact"/>
            </w:pPr>
            <w:r>
              <w:t xml:space="preserve">Cybersecurity risk management strategy adjusted</w:t>
            </w:r>
          </w:p>
        </w:tc>
        <w:tc>
          <w:tcPr/>
          <w:p>
            <w:pPr>
              <w:pStyle w:val="Compact"/>
            </w:pPr>
            <w:r>
              <w:t xml:space="preserve">Trend reports (incident counts, MTTD/MTTR, vuln backlog)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GV.OV-03</w:t>
            </w:r>
          </w:p>
        </w:tc>
        <w:tc>
          <w:tcPr/>
          <w:p>
            <w:pPr>
              <w:pStyle w:val="Compact"/>
            </w:pPr>
            <w:r>
              <w:t xml:space="preserve">Cybersecurity strategy and capabilities evaluated</w:t>
            </w:r>
          </w:p>
        </w:tc>
        <w:tc>
          <w:tcPr/>
          <w:p>
            <w:pPr>
              <w:pStyle w:val="Compact"/>
            </w:pPr>
            <w:r>
              <w:t xml:space="preserve">Posture summary across ID/PR/DE/RS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</w:t>
            </w:r>
          </w:p>
        </w:tc>
        <w:tc>
          <w:tcPr/>
          <w:p>
            <w:pPr>
              <w:pStyle w:val="Compact"/>
            </w:pPr>
            <w:r>
              <w:t xml:space="preserve">Suppliers known and prioritised</w:t>
            </w:r>
          </w:p>
        </w:tc>
        <w:tc>
          <w:tcPr/>
          <w:p>
            <w:pPr>
              <w:pStyle w:val="Compact"/>
            </w:pPr>
            <w:r>
              <w:t xml:space="preserve">Vendor-egress inventory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GV.SC-07</w:t>
            </w:r>
          </w:p>
        </w:tc>
        <w:tc>
          <w:tcPr/>
          <w:p>
            <w:pPr>
              <w:pStyle w:val="Compact"/>
            </w:pPr>
            <w:r>
              <w:t xml:space="preserve">Risks of suppliers monitored</w:t>
            </w:r>
          </w:p>
        </w:tc>
        <w:tc>
          <w:tcPr/>
          <w:p>
            <w:pPr>
              <w:pStyle w:val="Compact"/>
            </w:pPr>
            <w:r>
              <w:t xml:space="preserve">Vendor-egress drift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GV.SC-09</w:t>
            </w:r>
          </w:p>
        </w:tc>
        <w:tc>
          <w:tcPr/>
          <w:p>
            <w:pPr>
              <w:pStyle w:val="Compact"/>
            </w:pPr>
            <w:r>
              <w:t xml:space="preserve">Supply chain security practices integrated</w:t>
            </w:r>
          </w:p>
        </w:tc>
        <w:tc>
          <w:tcPr/>
          <w:p>
            <w:pPr>
              <w:pStyle w:val="Compact"/>
            </w:pPr>
            <w:r>
              <w:t xml:space="preserve">Egress allowlist + reconciliation against contract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GV.SC-10</w:t>
            </w:r>
          </w:p>
        </w:tc>
        <w:tc>
          <w:tcPr/>
          <w:p>
            <w:pPr>
              <w:pStyle w:val="Compact"/>
            </w:pPr>
            <w:r>
              <w:t xml:space="preserve">Cybersecurity supply chain risk management plans address end-of-life</w:t>
            </w:r>
          </w:p>
        </w:tc>
        <w:tc>
          <w:tcPr/>
          <w:p>
            <w:pPr>
              <w:pStyle w:val="Compact"/>
            </w:pPr>
            <w:r>
              <w:t xml:space="preserve">Software inventory with vendor-EOL flags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Standing quarterly evidence pack to management body</w:t>
      </w:r>
      <w:r>
        <w:br/>
      </w:r>
      <w:r>
        <w:rPr>
          <w:rStyle w:val="VerbatimChar"/>
        </w:rPr>
        <w:t xml:space="preserve">  Sections (each ~1 page):</w:t>
      </w:r>
      <w:r>
        <w:br/>
      </w:r>
      <w:r>
        <w:rPr>
          <w:rStyle w:val="VerbatimChar"/>
        </w:rPr>
        <w:t xml:space="preserve">    1. Workload inventory drift summary (ID.AM)</w:t>
      </w:r>
      <w:r>
        <w:br/>
      </w:r>
      <w:r>
        <w:rPr>
          <w:rStyle w:val="VerbatimChar"/>
        </w:rPr>
        <w:t xml:space="preserve">    2. Vulnerability backlog by criticality (ID.RA / PR.PS)</w:t>
      </w:r>
      <w:r>
        <w:br/>
      </w:r>
      <w:r>
        <w:rPr>
          <w:rStyle w:val="VerbatimChar"/>
        </w:rPr>
        <w:t xml:space="preserve">    3. Segmentation policy diff (PR.IR)</w:t>
      </w:r>
      <w:r>
        <w:br/>
      </w:r>
      <w:r>
        <w:rPr>
          <w:rStyle w:val="VerbatimChar"/>
        </w:rPr>
        <w:t xml:space="preserve">    4. Detection summary + MTTD/MTTR trend (DE.CM / RS.AN)</w:t>
      </w:r>
      <w:r>
        <w:br/>
      </w:r>
      <w:r>
        <w:rPr>
          <w:rStyle w:val="VerbatimChar"/>
        </w:rPr>
        <w:t xml:space="preserve">    5. Incident summary with severity distribution (RS / RC)</w:t>
      </w:r>
      <w:r>
        <w:br/>
      </w:r>
      <w:r>
        <w:rPr>
          <w:rStyle w:val="VerbatimChar"/>
        </w:rPr>
        <w:t xml:space="preserve">    6. Vendor-egress drift summary (GV.SC)</w:t>
      </w:r>
      <w:r>
        <w:br/>
      </w:r>
      <w:r>
        <w:rPr>
          <w:rStyle w:val="VerbatimChar"/>
        </w:rPr>
        <w:t xml:space="preserve">    7. Open audit/regulatory findings + remediation (GV.OV)</w:t>
      </w:r>
      <w:r>
        <w:br/>
      </w:r>
      <w:r>
        <w:br/>
      </w:r>
      <w:r>
        <w:rPr>
          <w:rStyle w:val="VerbatimChar"/>
        </w:rPr>
        <w:t xml:space="preserve">Step 2: Schedule generation</w:t>
      </w:r>
      <w:r>
        <w:br/>
      </w:r>
      <w:r>
        <w:rPr>
          <w:rStyle w:val="VerbatimChar"/>
        </w:rPr>
        <w:t xml:space="preserve">  → CSW reports (Inventory, Vulnerability, Policy Diff, Alert</w:t>
      </w:r>
      <w:r>
        <w:br/>
      </w:r>
      <w:r>
        <w:rPr>
          <w:rStyle w:val="VerbatimChar"/>
        </w:rPr>
        <w:t xml:space="preserve">    Summary) all available via API for automated aggregation</w:t>
      </w:r>
      <w:r>
        <w:br/>
      </w:r>
      <w:r>
        <w:rPr>
          <w:rStyle w:val="VerbatimChar"/>
        </w:rPr>
        <w:t xml:space="preserve">  → Recommended: stand up a small report-generation script that</w:t>
      </w:r>
      <w:r>
        <w:br/>
      </w:r>
      <w:r>
        <w:rPr>
          <w:rStyle w:val="VerbatimChar"/>
        </w:rPr>
        <w:t xml:space="preserve">    pulls each section monthly and rolls up quarterly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standing quarterly evidence pack with auditable</w:t>
      </w:r>
      <w:r>
        <w:t xml:space="preserve"> </w:t>
      </w:r>
      <w:r>
        <w:t xml:space="preserve">generation date and management-body sign-off.</w:t>
      </w:r>
    </w:p>
    <w:p>
      <w:r>
        <w:pict>
          <v:rect style="width:0;height:1.5pt" o:hralign="center" o:hrstd="t" o:hr="t"/>
        </w:pict>
      </w:r>
    </w:p>
    <w:bookmarkEnd w:id="31"/>
    <w:bookmarkStart w:id="34" w:name="X0d1420dc9bb10ce05a4c5a6654f73442e9e437f"/>
    <w:p>
      <w:pPr>
        <w:pStyle w:val="Heading2"/>
      </w:pPr>
      <w:r>
        <w:t xml:space="preserve">6. Identify (ID) — Asset Management, Risk Assessment</w:t>
      </w:r>
    </w:p>
    <w:p>
      <w:pPr>
        <w:pStyle w:val="FirstParagraph"/>
      </w:pPr>
      <w:r>
        <w:t xml:space="preserve">CSF 2.0 emphasises Identify as the precondition for everything</w:t>
      </w:r>
      <w:r>
        <w:t xml:space="preserve"> </w:t>
      </w:r>
      <w:r>
        <w:t xml:space="preserve">downstream. You can't protect what you can't see; you can't</w:t>
      </w:r>
      <w:r>
        <w:t xml:space="preserve"> </w:t>
      </w:r>
      <w:r>
        <w:t xml:space="preserve">prioritise risk you can't measure.</w:t>
      </w:r>
    </w:p>
    <w:p>
      <w:pPr>
        <w:pStyle w:val="BodyText"/>
      </w:pPr>
      <w:r>
        <w:rPr>
          <w:b/>
          <w:bCs/>
        </w:rPr>
        <w:t xml:space="preserve">Subcategories where CSW is the primary technical control:</w:t>
      </w:r>
    </w:p>
    <w:bookmarkStart w:id="32" w:name="idam--asset-management"/>
    <w:p>
      <w:pPr>
        <w:pStyle w:val="Heading3"/>
      </w:pPr>
      <w:r>
        <w:t xml:space="preserve">ID.AM — Asset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</w:t>
            </w:r>
          </w:p>
        </w:tc>
        <w:tc>
          <w:tcPr/>
          <w:p>
            <w:pPr>
              <w:pStyle w:val="Compact"/>
            </w:pPr>
            <w:r>
              <w:t xml:space="preserve">Inventories of hardware are maintained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ID.AM-02</w:t>
            </w:r>
          </w:p>
        </w:tc>
        <w:tc>
          <w:tcPr/>
          <w:p>
            <w:pPr>
              <w:pStyle w:val="Compact"/>
            </w:pPr>
            <w:r>
              <w:t xml:space="preserve">Inventories of software, services, and systems are maintained</w:t>
            </w:r>
          </w:p>
        </w:tc>
        <w:tc>
          <w:tcPr/>
          <w:p>
            <w:pPr>
              <w:pStyle w:val="Compact"/>
            </w:pPr>
            <w:r>
              <w:t xml:space="preserve">Per-workload package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ID.AM-03</w:t>
            </w:r>
          </w:p>
        </w:tc>
        <w:tc>
          <w:tcPr/>
          <w:p>
            <w:pPr>
              <w:pStyle w:val="Compact"/>
            </w:pPr>
            <w:r>
              <w:t xml:space="preserve">Representations of organisation's authorised network communication and internal/external network data flows are maintained</w:t>
            </w:r>
          </w:p>
        </w:tc>
        <w:tc>
          <w:tcPr/>
          <w:p>
            <w:pPr>
              <w:pStyle w:val="Compact"/>
            </w:pPr>
            <w:r>
              <w:t xml:space="preserve">ADM dependency graph; observed flow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ID.AM-04</w:t>
            </w:r>
          </w:p>
        </w:tc>
        <w:tc>
          <w:tcPr/>
          <w:p>
            <w:pPr>
              <w:pStyle w:val="Compact"/>
            </w:pPr>
            <w:r>
              <w:t xml:space="preserve">Inventories of services provided by suppliers are maintained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ID.AM-05</w:t>
            </w:r>
          </w:p>
        </w:tc>
        <w:tc>
          <w:tcPr/>
          <w:p>
            <w:pPr>
              <w:pStyle w:val="Compact"/>
            </w:pPr>
            <w:r>
              <w:t xml:space="preserve">Assets are prioritised based on classification, criticality, resources, and 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crit_band</w:t>
            </w:r>
            <w:r>
              <w:t xml:space="preserve"> </w:t>
            </w:r>
            <w:r>
              <w:t xml:space="preserve">labels drive scope-based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ID.AM-07</w:t>
            </w:r>
          </w:p>
        </w:tc>
        <w:tc>
          <w:tcPr/>
          <w:p>
            <w:pPr>
              <w:pStyle w:val="Compact"/>
            </w:pPr>
            <w:r>
              <w:t xml:space="preserve">Inventories of data and corresponding metadata for designated data types are maintained</w:t>
            </w:r>
          </w:p>
        </w:tc>
        <w:tc>
          <w:tcPr/>
          <w:p>
            <w:pPr>
              <w:pStyle w:val="Compact"/>
            </w:pPr>
            <w:r>
              <w:t xml:space="preserve">Workload labels (</w:t>
            </w:r>
            <w:r>
              <w:rPr>
                <w:rStyle w:val="VerbatimChar"/>
              </w:rPr>
              <w:t xml:space="preserve">data_class</w:t>
            </w:r>
            <w:r>
              <w:t xml:space="preserve">) anchor data-tier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ID.AM-08</w:t>
            </w:r>
          </w:p>
        </w:tc>
        <w:tc>
          <w:tcPr/>
          <w:p>
            <w:pPr>
              <w:pStyle w:val="Compact"/>
            </w:pPr>
            <w:r>
              <w:t xml:space="preserve">Systems, hardware, software, services, and data are managed throughout their lifecycle</w:t>
            </w:r>
          </w:p>
        </w:tc>
        <w:tc>
          <w:tcPr/>
          <w:p>
            <w:pPr>
              <w:pStyle w:val="Compact"/>
            </w:pPr>
            <w:r>
              <w:t xml:space="preserve">Vendor-EOL flag in software inventory</w:t>
            </w:r>
          </w:p>
        </w:tc>
      </w:tr>
    </w:tbl>
    <w:bookmarkEnd w:id="32"/>
    <w:bookmarkStart w:id="33" w:name="idra--risk-assessment"/>
    <w:p>
      <w:pPr>
        <w:pStyle w:val="Heading3"/>
      </w:pPr>
      <w:r>
        <w:t xml:space="preserve">ID.RA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</w:t>
            </w:r>
          </w:p>
        </w:tc>
        <w:tc>
          <w:tcPr/>
          <w:p>
            <w:pPr>
              <w:pStyle w:val="Compact"/>
            </w:pPr>
            <w:r>
              <w:t xml:space="preserve">Vulnerabilities in assets are identified, validated, recorded</w:t>
            </w:r>
          </w:p>
        </w:tc>
        <w:tc>
          <w:tcPr/>
          <w:p>
            <w:pPr>
              <w:pStyle w:val="Compact"/>
            </w:pPr>
            <w:r>
              <w:t xml:space="preserve">Continuous CVE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ID.RA-02</w:t>
            </w:r>
          </w:p>
        </w:tc>
        <w:tc>
          <w:tcPr/>
          <w:p>
            <w:pPr>
              <w:pStyle w:val="Compact"/>
            </w:pPr>
            <w:r>
              <w:t xml:space="preserve">Cyber threat intelligence is received</w:t>
            </w:r>
          </w:p>
        </w:tc>
        <w:tc>
          <w:tcPr/>
          <w:p>
            <w:pPr>
              <w:pStyle w:val="Compact"/>
            </w:pPr>
            <w:r>
              <w:t xml:space="preserve">CSW threat-intel feeds enrich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ID.RA-03</w:t>
            </w:r>
          </w:p>
        </w:tc>
        <w:tc>
          <w:tcPr/>
          <w:p>
            <w:pPr>
              <w:pStyle w:val="Compact"/>
            </w:pPr>
            <w:r>
              <w:t xml:space="preserve">Internal and external threats are identified and recorded</w:t>
            </w:r>
          </w:p>
        </w:tc>
        <w:tc>
          <w:tcPr/>
          <w:p>
            <w:pPr>
              <w:pStyle w:val="Compact"/>
            </w:pPr>
            <w:r>
              <w:t xml:space="preserve">Behavioural detection rule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ID.RA-05</w:t>
            </w:r>
          </w:p>
        </w:tc>
        <w:tc>
          <w:tcPr/>
          <w:p>
            <w:pPr>
              <w:pStyle w:val="Compact"/>
            </w:pPr>
            <w:r>
              <w:t xml:space="preserve">Threats, vulnerabilities, likelihoods, and impacts are used to understand inherent risk and inform risk response prioritisation</w:t>
            </w:r>
          </w:p>
        </w:tc>
        <w:tc>
          <w:tcPr/>
          <w:p>
            <w:pPr>
              <w:pStyle w:val="Compact"/>
            </w:pPr>
            <w:r>
              <w:t xml:space="preserve">Reachability-aware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ID.RA-06</w:t>
            </w:r>
          </w:p>
        </w:tc>
        <w:tc>
          <w:tcPr/>
          <w:p>
            <w:pPr>
              <w:pStyle w:val="Compact"/>
            </w:pPr>
            <w:r>
              <w:t xml:space="preserve">Risk responses are chosen, prioritised, planned, tracked, and communicated</w:t>
            </w:r>
          </w:p>
        </w:tc>
        <w:tc>
          <w:tcPr/>
          <w:p>
            <w:pPr>
              <w:pStyle w:val="Compact"/>
            </w:pPr>
            <w:r>
              <w:t xml:space="preserve">CVE backlog + remediation tracking + compensating-control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ID.RA-07</w:t>
            </w:r>
          </w:p>
        </w:tc>
        <w:tc>
          <w:tcPr/>
          <w:p>
            <w:pPr>
              <w:pStyle w:val="Compact"/>
            </w:pPr>
            <w:r>
              <w:t xml:space="preserve">Changes and exceptions are managed, assessed for risk impact, recorded, and tracked</w:t>
            </w:r>
          </w:p>
        </w:tc>
        <w:tc>
          <w:tcPr/>
          <w:p>
            <w:pPr>
              <w:pStyle w:val="Compact"/>
            </w:pPr>
            <w:r>
              <w:t xml:space="preserve">Configuration drift report + change-ticket attribution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+ cloud-connector coverage (ID.AM-01/02)</w:t>
      </w:r>
      <w:r>
        <w:br/>
      </w:r>
      <w:r>
        <w:rPr>
          <w:rStyle w:val="VerbatimChar"/>
        </w:rPr>
        <w:t xml:space="preserve">Step 2: Run ADM per crit_band scope (ID.AM-03)</w:t>
      </w:r>
      <w:r>
        <w:br/>
      </w:r>
      <w:r>
        <w:rPr>
          <w:rStyle w:val="VerbatimChar"/>
        </w:rPr>
        <w:t xml:space="preserve">Step 3: Schedule continuous vulnerability inventory (ID.RA-01)</w:t>
      </w:r>
      <w:r>
        <w:br/>
      </w:r>
      <w:r>
        <w:rPr>
          <w:rStyle w:val="VerbatimChar"/>
        </w:rPr>
        <w:t xml:space="preserve">Step 4: Wire reachability + EPSS into CVE triage (ID.RA-05)</w:t>
      </w:r>
      <w:r>
        <w:br/>
      </w:r>
      <w:r>
        <w:rPr>
          <w:rStyle w:val="VerbatimChar"/>
        </w:rPr>
        <w:t xml:space="preserve">Step 5: Schedule weekly drift report tied to change tickets (ID.RA-07)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9ca217f52a711a9ac92cb487b0880874d69cdc7"/>
    <w:p>
      <w:pPr>
        <w:pStyle w:val="Heading2"/>
      </w:pPr>
      <w:r>
        <w:t xml:space="preserve">7. Protect (PR) — Safeguards</w:t>
      </w:r>
    </w:p>
    <w:p>
      <w:pPr>
        <w:pStyle w:val="FirstParagraph"/>
      </w:pPr>
      <w:r>
        <w:t xml:space="preserve">CSF 2.0 reorganised Protect substantially in 2024. The most CSW-</w:t>
      </w:r>
      <w:r>
        <w:t xml:space="preserve"> </w:t>
      </w:r>
      <w:r>
        <w:t xml:space="preserve">relevant Categories are PR.IR (Infrastructure Resilience) and</w:t>
      </w:r>
      <w:r>
        <w:t xml:space="preserve"> </w:t>
      </w:r>
      <w:r>
        <w:t xml:space="preserve">PR.PS (Platform Security).</w:t>
      </w:r>
    </w:p>
    <w:bookmarkStart w:id="35" w:name="X0923cd8db31c6404398b7a2f709e065095fef76"/>
    <w:p>
      <w:pPr>
        <w:pStyle w:val="Heading3"/>
      </w:pPr>
      <w:r>
        <w:t xml:space="preserve">PR.IR — Infrastructure Resilience (Network Protection)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</w:t>
            </w:r>
          </w:p>
        </w:tc>
        <w:tc>
          <w:tcPr/>
          <w:p>
            <w:pPr>
              <w:pStyle w:val="Compact"/>
            </w:pPr>
            <w:r>
              <w:t xml:space="preserve">Networks and environments are protected from unauthorised logical access and usage</w:t>
            </w:r>
          </w:p>
        </w:tc>
        <w:tc>
          <w:tcPr/>
          <w:p>
            <w:pPr>
              <w:pStyle w:val="Compact"/>
            </w:pPr>
            <w:r>
              <w:t xml:space="preserve">Workload-level deny-by-default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PR.IR-02</w:t>
            </w:r>
          </w:p>
        </w:tc>
        <w:tc>
          <w:tcPr/>
          <w:p>
            <w:pPr>
              <w:pStyle w:val="Compact"/>
            </w:pPr>
            <w:r>
              <w:t xml:space="preserve">The organisation's technology assets are protected from environmental threats</w:t>
            </w:r>
          </w:p>
        </w:tc>
        <w:tc>
          <w:tcPr/>
          <w:p>
            <w:pPr>
              <w:pStyle w:val="Compact"/>
            </w:pPr>
            <w:r>
              <w:t xml:space="preserve">(CSW does not address physical/environmental — 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PR.IR-03</w:t>
            </w:r>
          </w:p>
        </w:tc>
        <w:tc>
          <w:tcPr/>
          <w:p>
            <w:pPr>
              <w:pStyle w:val="Compact"/>
            </w:pPr>
            <w:r>
              <w:t xml:space="preserve">Mechanisms are implemented to achieve resilience requirements in normal and adverse situations</w:t>
            </w:r>
          </w:p>
        </w:tc>
        <w:tc>
          <w:tcPr/>
          <w:p>
            <w:pPr>
              <w:pStyle w:val="Compact"/>
            </w:pPr>
            <w:r>
              <w:t xml:space="preserve">Quarantine policy for incident response; segmentation evolves under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PR.IR-04</w:t>
            </w:r>
          </w:p>
        </w:tc>
        <w:tc>
          <w:tcPr/>
          <w:p>
            <w:pPr>
              <w:pStyle w:val="Compact"/>
            </w:pPr>
            <w:r>
              <w:t xml:space="preserve">Adequate resource capacity to ensure availability is maintained</w:t>
            </w:r>
          </w:p>
        </w:tc>
        <w:tc>
          <w:tcPr/>
          <w:p>
            <w:pPr>
              <w:pStyle w:val="Compact"/>
            </w:pPr>
            <w:r>
              <w:t xml:space="preserve">(CSW supports detection of resource-exhaustion patterns; primary control is capacity planning)</w:t>
            </w:r>
          </w:p>
        </w:tc>
      </w:tr>
    </w:tbl>
    <w:bookmarkEnd w:id="35"/>
    <w:bookmarkStart w:id="36" w:name="prps--platform-security"/>
    <w:p>
      <w:pPr>
        <w:pStyle w:val="Heading3"/>
      </w:pPr>
      <w:r>
        <w:t xml:space="preserve">PR.PS — Platform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</w:t>
            </w:r>
          </w:p>
        </w:tc>
        <w:tc>
          <w:tcPr/>
          <w:p>
            <w:pPr>
              <w:pStyle w:val="Compact"/>
            </w:pPr>
            <w:r>
              <w:t xml:space="preserve">Configuration management practices are established and applied</w:t>
            </w:r>
          </w:p>
        </w:tc>
        <w:tc>
          <w:tcPr/>
          <w:p>
            <w:pPr>
              <w:pStyle w:val="Compact"/>
            </w:pPr>
            <w:r>
              <w:t xml:space="preserve">Daily baseline +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PR.PS-02</w:t>
            </w:r>
          </w:p>
        </w:tc>
        <w:tc>
          <w:tcPr/>
          <w:p>
            <w:pPr>
              <w:pStyle w:val="Compact"/>
            </w:pPr>
            <w:r>
              <w:t xml:space="preserve">Software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Per-workload software inventory + vendor-EOL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PR.PS-03</w:t>
            </w:r>
          </w:p>
        </w:tc>
        <w:tc>
          <w:tcPr/>
          <w:p>
            <w:pPr>
              <w:pStyle w:val="Compact"/>
            </w:pPr>
            <w:r>
              <w:t xml:space="preserve">Hardware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Inventory drift + asset lifecycle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PR.PS-04</w:t>
            </w:r>
          </w:p>
        </w:tc>
        <w:tc>
          <w:tcPr/>
          <w:p>
            <w:pPr>
              <w:pStyle w:val="Compact"/>
            </w:pPr>
            <w:r>
              <w:t xml:space="preserve">Log records are generated and made available for continuous monitoring</w:t>
            </w:r>
          </w:p>
        </w:tc>
        <w:tc>
          <w:tcPr/>
          <w:p>
            <w:pPr>
              <w:pStyle w:val="Compact"/>
            </w:pPr>
            <w:r>
              <w:t xml:space="preserve">Per-flow + per-process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PR.PS-05</w:t>
            </w:r>
          </w:p>
        </w:tc>
        <w:tc>
          <w:tcPr/>
          <w:p>
            <w:pPr>
              <w:pStyle w:val="Compact"/>
            </w:pPr>
            <w:r>
              <w:t xml:space="preserve">Installation and execution of unauthorised software are prevented</w:t>
            </w:r>
          </w:p>
        </w:tc>
        <w:tc>
          <w:tcPr/>
          <w:p>
            <w:pPr>
              <w:pStyle w:val="Compact"/>
            </w:pPr>
            <w:r>
              <w:t xml:space="preserve">Behavioural rules + (IG3) allow-list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PR.PS-06</w:t>
            </w:r>
          </w:p>
        </w:tc>
        <w:tc>
          <w:tcPr/>
          <w:p>
            <w:pPr>
              <w:pStyle w:val="Compact"/>
            </w:pPr>
            <w:r>
              <w:t xml:space="preserve">Secure software development practices are integrated, and their performance is monitored</w:t>
            </w:r>
          </w:p>
        </w:tc>
        <w:tc>
          <w:tcPr/>
          <w:p>
            <w:pPr>
              <w:pStyle w:val="Compact"/>
            </w:pPr>
            <w:r>
              <w:t xml:space="preserve">CVE inventory feeds the SDLC; reachability for triage</w:t>
            </w:r>
          </w:p>
        </w:tc>
      </w:tr>
    </w:tbl>
    <w:bookmarkEnd w:id="36"/>
    <w:bookmarkStart w:id="37" w:name="Xc2d7523a2414d77a7333a4b927ac2736f6a70da"/>
    <w:p>
      <w:pPr>
        <w:pStyle w:val="Heading3"/>
      </w:pPr>
      <w:r>
        <w:t xml:space="preserve">PR.AA — Identity Management, Authentication, Access Control</w:t>
      </w:r>
    </w:p>
    <w:p>
      <w:pPr>
        <w:pStyle w:val="FirstParagraph"/>
      </w:pPr>
      <w:r>
        <w:t xml:space="preserve">CSW is supporting here; identity is upstream. CSW enforces</w:t>
      </w:r>
      <w:r>
        <w:t xml:space="preserve"> </w:t>
      </w:r>
      <w:r>
        <w:t xml:space="preserve">workload-side outcomes of upstream identity decisions.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</w:t>
            </w:r>
          </w:p>
        </w:tc>
        <w:tc>
          <w:tcPr/>
          <w:p>
            <w:pPr>
              <w:pStyle w:val="Compact"/>
            </w:pPr>
            <w:r>
              <w:t xml:space="preserve">Identities and credentials for authorised users, services, and hardware are managed</w:t>
            </w:r>
          </w:p>
        </w:tc>
        <w:tc>
          <w:tcPr/>
          <w:p>
            <w:pPr>
              <w:pStyle w:val="Compact"/>
            </w:pPr>
            <w:r>
              <w:t xml:space="preserve">Workload labels carry identity context for 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PR.AA-05</w:t>
            </w:r>
          </w:p>
        </w:tc>
        <w:tc>
          <w:tcPr/>
          <w:p>
            <w:pPr>
              <w:pStyle w:val="Compact"/>
            </w:pPr>
            <w:r>
              <w:t xml:space="preserve">Access permissions, entitlements, and authorisations are defined in a policy, managed, enforced, and reviewed</w:t>
            </w:r>
          </w:p>
        </w:tc>
        <w:tc>
          <w:tcPr/>
          <w:p>
            <w:pPr>
              <w:pStyle w:val="Compact"/>
            </w:pPr>
            <w:r>
              <w:t xml:space="preserve">Workload-tier policy enforcement + quarterly access review</w:t>
            </w:r>
          </w:p>
        </w:tc>
      </w:tr>
    </w:tbl>
    <w:bookmarkEnd w:id="37"/>
    <w:bookmarkStart w:id="38" w:name="prds--data-security"/>
    <w:p>
      <w:pPr>
        <w:pStyle w:val="Heading3"/>
      </w:pPr>
      <w:r>
        <w:t xml:space="preserve">PR.DS — Data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PR.DS-01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data-at-rest are protected</w:t>
            </w:r>
          </w:p>
        </w:tc>
        <w:tc>
          <w:tcPr/>
          <w:p>
            <w:pPr>
              <w:pStyle w:val="Compact"/>
            </w:pPr>
            <w:r>
              <w:t xml:space="preserve">(Out of scope — encryption at rest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data-in-transit are protected</w:t>
            </w:r>
          </w:p>
        </w:tc>
        <w:tc>
          <w:tcPr/>
          <w:p>
            <w:pPr>
              <w:pStyle w:val="Compact"/>
            </w:pPr>
            <w:r>
              <w:t xml:space="preserve">Plaintext-protocol DENY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Per-scope segmentation policy (PR.IR-01)</w:t>
      </w:r>
      <w:r>
        <w:br/>
      </w:r>
      <w:r>
        <w:rPr>
          <w:rStyle w:val="VerbatimChar"/>
        </w:rPr>
        <w:t xml:space="preserve">  → Build policy workspace; default deny; ADM-derived allow-list</w:t>
      </w:r>
      <w:r>
        <w:br/>
      </w:r>
      <w:r>
        <w:br/>
      </w:r>
      <w:r>
        <w:rPr>
          <w:rStyle w:val="VerbatimChar"/>
        </w:rPr>
        <w:t xml:space="preserve">Step 2: Daily baseline + drift detection (PR.PS-01)</w:t>
      </w:r>
      <w:r>
        <w:br/>
      </w:r>
      <w:r>
        <w:rPr>
          <w:rStyle w:val="VerbatimChar"/>
        </w:rPr>
        <w:t xml:space="preserve">  → Snapshot OS + packages + listening ports + processes</w:t>
      </w:r>
      <w:r>
        <w:br/>
      </w:r>
      <w:r>
        <w:rPr>
          <w:rStyle w:val="VerbatimChar"/>
        </w:rPr>
        <w:t xml:space="preserve">  → Daily diff with disposition column</w:t>
      </w:r>
      <w:r>
        <w:br/>
      </w:r>
      <w:r>
        <w:br/>
      </w:r>
      <w:r>
        <w:rPr>
          <w:rStyle w:val="VerbatimChar"/>
        </w:rPr>
        <w:t xml:space="preserve">Step 3: Software lifecycle (PR.PS-02)</w:t>
      </w:r>
      <w:r>
        <w:br/>
      </w:r>
      <w:r>
        <w:rPr>
          <w:rStyle w:val="VerbatimChar"/>
        </w:rPr>
        <w:t xml:space="preserve">  → Tag workloads running EOL software; route to platform team</w:t>
      </w:r>
      <w:r>
        <w:br/>
      </w:r>
      <w:r>
        <w:br/>
      </w:r>
      <w:r>
        <w:rPr>
          <w:rStyle w:val="VerbatimChar"/>
        </w:rPr>
        <w:t xml:space="preserve">Step 4: SIEM forwarding (PR.PS-04)</w:t>
      </w:r>
      <w:r>
        <w:br/>
      </w:r>
      <w:r>
        <w:rPr>
          <w:rStyle w:val="VerbatimChar"/>
        </w:rPr>
        <w:t xml:space="preserve">  → Per-flow + per-process events forwarded continuously</w:t>
      </w:r>
      <w:r>
        <w:br/>
      </w:r>
      <w:r>
        <w:br/>
      </w:r>
      <w:r>
        <w:rPr>
          <w:rStyle w:val="VerbatimChar"/>
        </w:rPr>
        <w:t xml:space="preserve">Step 5: Behavioural prevention (PR.PS-05)</w:t>
      </w:r>
      <w:r>
        <w:br/>
      </w:r>
      <w:r>
        <w:rPr>
          <w:rStyle w:val="VerbatimChar"/>
        </w:rPr>
        <w:t xml:space="preserve">  → Forensics rule catalogue; alert in IG2; block in IG3 patterns</w:t>
      </w:r>
      <w:r>
        <w:br/>
      </w:r>
      <w:r>
        <w:br/>
      </w:r>
      <w:r>
        <w:rPr>
          <w:rStyle w:val="VerbatimChar"/>
        </w:rPr>
        <w:t xml:space="preserve">Step 6: Plaintext DENY (PR.DS-02)</w:t>
      </w:r>
      <w:r>
        <w:br/>
      </w:r>
      <w:r>
        <w:rPr>
          <w:rStyle w:val="VerbatimChar"/>
        </w:rPr>
        <w:t xml:space="preserve">  → CSW policy: deny HTTP/FTP/Telnet/LDAP/SMTP plaintext flows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c05340dc0ec1e019630ce9e0b27eb4af0e194c9"/>
    <w:p>
      <w:pPr>
        <w:pStyle w:val="Heading2"/>
      </w:pPr>
      <w:r>
        <w:t xml:space="preserve">8. Detect (DE) — Continuous Monitoring, Adverse Event Analysis</w:t>
      </w:r>
    </w:p>
    <w:p>
      <w:pPr>
        <w:pStyle w:val="FirstParagraph"/>
      </w:pPr>
      <w:r>
        <w:t xml:space="preserve">The densest CSW alignment in CSF.</w:t>
      </w:r>
    </w:p>
    <w:bookmarkStart w:id="40" w:name="decm--continuous-monitoring"/>
    <w:p>
      <w:pPr>
        <w:pStyle w:val="Heading3"/>
      </w:pPr>
      <w:r>
        <w:t xml:space="preserve">DE.CM — Continuous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</w:t>
            </w:r>
          </w:p>
        </w:tc>
        <w:tc>
          <w:tcPr/>
          <w:p>
            <w:pPr>
              <w:pStyle w:val="Compact"/>
            </w:pPr>
            <w:r>
              <w:t xml:space="preserve">Networks and network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CSW flow telemetry + behavioural rules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DE.CM-02</w:t>
            </w:r>
          </w:p>
        </w:tc>
        <w:tc>
          <w:tcPr/>
          <w:p>
            <w:pPr>
              <w:pStyle w:val="Compact"/>
            </w:pPr>
            <w:r>
              <w:t xml:space="preserve">The physical environment is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(Out of scope — physical)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DE.CM-03</w:t>
            </w:r>
          </w:p>
        </w:tc>
        <w:tc>
          <w:tcPr/>
          <w:p>
            <w:pPr>
              <w:pStyle w:val="Compact"/>
            </w:pPr>
            <w:r>
              <w:t xml:space="preserve">Personnel activity and technology usage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Process telemetry + identity-aware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DE.CM-06</w:t>
            </w:r>
          </w:p>
        </w:tc>
        <w:tc>
          <w:tcPr/>
          <w:p>
            <w:pPr>
              <w:pStyle w:val="Compact"/>
            </w:pPr>
            <w:r>
              <w:t xml:space="preserve">External service provider activities and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Vendor-egress observation + drift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DE.CM-09</w:t>
            </w:r>
          </w:p>
        </w:tc>
        <w:tc>
          <w:tcPr/>
          <w:p>
            <w:pPr>
              <w:pStyle w:val="Compact"/>
            </w:pPr>
            <w:r>
              <w:t xml:space="preserve">Computing hardware and software, runtime environments, and their data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</w:t>
            </w:r>
          </w:p>
        </w:tc>
      </w:tr>
    </w:tbl>
    <w:bookmarkEnd w:id="40"/>
    <w:bookmarkStart w:id="41" w:name="deae--adverse-event-analysis"/>
    <w:p>
      <w:pPr>
        <w:pStyle w:val="Heading3"/>
      </w:pPr>
      <w:r>
        <w:t xml:space="preserve">DE.AE — Adverse Event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</w:t>
            </w:r>
          </w:p>
        </w:tc>
        <w:tc>
          <w:tcPr/>
          <w:p>
            <w:pPr>
              <w:pStyle w:val="Compact"/>
            </w:pPr>
            <w:r>
              <w:t xml:space="preserve">Potentially adverse events are analysed to better understand associated activities</w:t>
            </w:r>
          </w:p>
        </w:tc>
        <w:tc>
          <w:tcPr/>
          <w:p>
            <w:pPr>
              <w:pStyle w:val="Compact"/>
            </w:pPr>
            <w:r>
              <w:t xml:space="preserve">Forensic flow + process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DE.AE-03</w:t>
            </w:r>
          </w:p>
        </w:tc>
        <w:tc>
          <w:tcPr/>
          <w:p>
            <w:pPr>
              <w:pStyle w:val="Compact"/>
            </w:pPr>
            <w:r>
              <w:t xml:space="preserve">Information is correlated from multiple sources</w:t>
            </w:r>
          </w:p>
        </w:tc>
        <w:tc>
          <w:tcPr/>
          <w:p>
            <w:pPr>
              <w:pStyle w:val="Compact"/>
            </w:pPr>
            <w:r>
              <w:t xml:space="preserve">CSW telemetry forwarded to SIEM for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DE.AE-04</w:t>
            </w:r>
          </w:p>
        </w:tc>
        <w:tc>
          <w:tcPr/>
          <w:p>
            <w:pPr>
              <w:pStyle w:val="Compact"/>
            </w:pPr>
            <w:r>
              <w:t xml:space="preserve">The estimated impact and scope of adverse events is understood</w:t>
            </w:r>
          </w:p>
        </w:tc>
        <w:tc>
          <w:tcPr/>
          <w:p>
            <w:pPr>
              <w:pStyle w:val="Compact"/>
            </w:pPr>
            <w:r>
              <w:t xml:space="preserve">Reachability + crit_band labels inform impact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DE.AE-06</w:t>
            </w:r>
          </w:p>
        </w:tc>
        <w:tc>
          <w:tcPr/>
          <w:p>
            <w:pPr>
              <w:pStyle w:val="Compact"/>
            </w:pPr>
            <w:r>
              <w:t xml:space="preserve">Information on adverse events is provided to authorised staff and tools</w:t>
            </w:r>
          </w:p>
        </w:tc>
        <w:tc>
          <w:tcPr/>
          <w:p>
            <w:pPr>
              <w:pStyle w:val="Compact"/>
            </w:pPr>
            <w:r>
              <w:t xml:space="preserve">SIEM forwarding + alert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DE.AE-07</w:t>
            </w:r>
          </w:p>
        </w:tc>
        <w:tc>
          <w:tcPr/>
          <w:p>
            <w:pPr>
              <w:pStyle w:val="Compact"/>
            </w:pPr>
            <w:r>
              <w:t xml:space="preserve">Cyber threat intelligence and other contextual information are integrated into the analysis</w:t>
            </w:r>
          </w:p>
        </w:tc>
        <w:tc>
          <w:tcPr/>
          <w:p>
            <w:pPr>
              <w:pStyle w:val="Compact"/>
            </w:pPr>
            <w:r>
              <w:t xml:space="preserve">Threat-intel-enriched detections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DE.AE-08</w:t>
            </w:r>
          </w:p>
        </w:tc>
        <w:tc>
          <w:tcPr/>
          <w:p>
            <w:pPr>
              <w:pStyle w:val="Compact"/>
            </w:pPr>
            <w:r>
              <w:t xml:space="preserve">Incidents are declared when adverse events meet the defined incident criteria</w:t>
            </w:r>
          </w:p>
        </w:tc>
        <w:tc>
          <w:tcPr/>
          <w:p>
            <w:pPr>
              <w:pStyle w:val="Compact"/>
            </w:pPr>
            <w:r>
              <w:t xml:space="preserve">Severity-based alert routing → IR ticket creation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Behavioural rules across crit_band scopes (DE.CM-01/03/09)</w:t>
      </w:r>
      <w:r>
        <w:br/>
      </w:r>
      <w:r>
        <w:rPr>
          <w:rStyle w:val="VerbatimChar"/>
        </w:rPr>
        <w:t xml:space="preserve">Step 2: Conversation-graph anomaly detection (DE.CM-01)</w:t>
      </w:r>
      <w:r>
        <w:br/>
      </w:r>
      <w:r>
        <w:rPr>
          <w:rStyle w:val="VerbatimChar"/>
        </w:rPr>
        <w:t xml:space="preserve">Step 3: SIEM forwarding for correlation (DE.AE-03/06)</w:t>
      </w:r>
      <w:r>
        <w:br/>
      </w:r>
      <w:r>
        <w:rPr>
          <w:rStyle w:val="VerbatimChar"/>
        </w:rPr>
        <w:t xml:space="preserve">Step 4: Threat-intel enrichment in CVE + behavioural pipeline (DE.AE-07)</w:t>
      </w:r>
      <w:r>
        <w:br/>
      </w:r>
      <w:r>
        <w:rPr>
          <w:rStyle w:val="VerbatimChar"/>
        </w:rPr>
        <w:t xml:space="preserve">Step 5: Severity-based incident-declaration thresholds (DE.AE-08)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4222631cd7240220b32abdcaf5be2de98c211b4"/>
    <w:p>
      <w:pPr>
        <w:pStyle w:val="Heading2"/>
      </w:pPr>
      <w:r>
        <w:t xml:space="preserve">9. Respond (RS) — Analysis, Mitigation, Reporting</w:t>
      </w:r>
    </w:p>
    <w:bookmarkStart w:id="43" w:name="rsma--incident-management"/>
    <w:p>
      <w:pPr>
        <w:pStyle w:val="Heading3"/>
      </w:pPr>
      <w:r>
        <w:t xml:space="preserve">RS.MA — Incident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</w:t>
            </w:r>
          </w:p>
        </w:tc>
        <w:tc>
          <w:tcPr/>
          <w:p>
            <w:pPr>
              <w:pStyle w:val="Compact"/>
            </w:pPr>
            <w:r>
              <w:t xml:space="preserve">The incident response plan is executed in coordination with relevant third parties</w:t>
            </w:r>
          </w:p>
        </w:tc>
        <w:tc>
          <w:tcPr/>
          <w:p>
            <w:pPr>
              <w:pStyle w:val="Compact"/>
            </w:pPr>
            <w:r>
              <w:t xml:space="preserve">Six-artefact dossier ready for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RS.MA-02</w:t>
            </w:r>
          </w:p>
        </w:tc>
        <w:tc>
          <w:tcPr/>
          <w:p>
            <w:pPr>
              <w:pStyle w:val="Compact"/>
            </w:pPr>
            <w:r>
              <w:t xml:space="preserve">Incident reports are triaged and validated</w:t>
            </w:r>
          </w:p>
        </w:tc>
        <w:tc>
          <w:tcPr/>
          <w:p>
            <w:pPr>
              <w:pStyle w:val="Compact"/>
            </w:pPr>
            <w:r>
              <w:t xml:space="preserve">Forensic context per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RS.MA-03</w:t>
            </w:r>
          </w:p>
        </w:tc>
        <w:tc>
          <w:tcPr/>
          <w:p>
            <w:pPr>
              <w:pStyle w:val="Compact"/>
            </w:pPr>
            <w:r>
              <w:t xml:space="preserve">Incidents are categorised and prioritised</w:t>
            </w:r>
          </w:p>
        </w:tc>
        <w:tc>
          <w:tcPr/>
          <w:p>
            <w:pPr>
              <w:pStyle w:val="Compact"/>
            </w:pPr>
            <w:r>
              <w:t xml:space="preserve">crit_band + reachability inform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RS.MA-04</w:t>
            </w:r>
          </w:p>
        </w:tc>
        <w:tc>
          <w:tcPr/>
          <w:p>
            <w:pPr>
              <w:pStyle w:val="Compact"/>
            </w:pPr>
            <w:r>
              <w:t xml:space="preserve">Incidents are escalated or elevated as needed</w:t>
            </w:r>
          </w:p>
        </w:tc>
        <w:tc>
          <w:tcPr/>
          <w:p>
            <w:pPr>
              <w:pStyle w:val="Compact"/>
            </w:pPr>
            <w:r>
              <w:t xml:space="preserve">Severity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RS.MA-05</w:t>
            </w:r>
          </w:p>
        </w:tc>
        <w:tc>
          <w:tcPr/>
          <w:p>
            <w:pPr>
              <w:pStyle w:val="Compact"/>
            </w:pPr>
            <w:r>
              <w:t xml:space="preserve">The criteria for initiating incident recovery are applied</w:t>
            </w:r>
          </w:p>
        </w:tc>
        <w:tc>
          <w:tcPr/>
          <w:p>
            <w:pPr>
              <w:pStyle w:val="Compact"/>
            </w:pPr>
            <w:r>
              <w:t xml:space="preserve">Containment evidence informs recovery readiness</w:t>
            </w:r>
          </w:p>
        </w:tc>
      </w:tr>
    </w:tbl>
    <w:bookmarkEnd w:id="43"/>
    <w:bookmarkStart w:id="44" w:name="rsan--incident-analysis"/>
    <w:p>
      <w:pPr>
        <w:pStyle w:val="Heading3"/>
      </w:pPr>
      <w:r>
        <w:t xml:space="preserve">RS.AN — Incident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</w:t>
            </w:r>
          </w:p>
        </w:tc>
        <w:tc>
          <w:tcPr/>
          <w:p>
            <w:pPr>
              <w:pStyle w:val="Compact"/>
            </w:pPr>
            <w:r>
              <w:t xml:space="preserve">Analysis is performed to establish what has taken place during an incident and the root cause</w:t>
            </w:r>
          </w:p>
        </w:tc>
        <w:tc>
          <w:tcPr/>
          <w:p>
            <w:pPr>
              <w:pStyle w:val="Compact"/>
            </w:pPr>
            <w:r>
              <w:t xml:space="preserve">Process + flow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RS.AN-06</w:t>
            </w:r>
          </w:p>
        </w:tc>
        <w:tc>
          <w:tcPr/>
          <w:p>
            <w:pPr>
              <w:pStyle w:val="Compact"/>
            </w:pPr>
            <w:r>
              <w:t xml:space="preserve">Actions performed during an investigation are recorded and the records'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CSW retains all queries and exports; SIEM hashing for chain-of-custody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RS.AN-07</w:t>
            </w:r>
          </w:p>
        </w:tc>
        <w:tc>
          <w:tcPr/>
          <w:p>
            <w:pPr>
              <w:pStyle w:val="Compact"/>
            </w:pPr>
            <w:r>
              <w:t xml:space="preserve">Incident data and metadata are collected and their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Six-artefact dossier with timestamped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RS.AN-08</w:t>
            </w:r>
          </w:p>
        </w:tc>
        <w:tc>
          <w:tcPr/>
          <w:p>
            <w:pPr>
              <w:pStyle w:val="Compact"/>
            </w:pPr>
            <w:r>
              <w:t xml:space="preserve">An incident's magnitude is estimated and validated</w:t>
            </w:r>
          </w:p>
        </w:tc>
        <w:tc>
          <w:tcPr/>
          <w:p>
            <w:pPr>
              <w:pStyle w:val="Compact"/>
            </w:pPr>
            <w:r>
              <w:t xml:space="preserve">Reachability + scope membership inform magnitude</w:t>
            </w:r>
          </w:p>
        </w:tc>
      </w:tr>
    </w:tbl>
    <w:bookmarkEnd w:id="44"/>
    <w:bookmarkStart w:id="45" w:name="rsmi--incident-mitigation"/>
    <w:p>
      <w:pPr>
        <w:pStyle w:val="Heading3"/>
      </w:pPr>
      <w:r>
        <w:t xml:space="preserve">RS.MI — Incident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</w:t>
            </w:r>
          </w:p>
        </w:tc>
        <w:tc>
          <w:tcPr/>
          <w:p>
            <w:pPr>
              <w:pStyle w:val="Compact"/>
            </w:pPr>
            <w:r>
              <w:t xml:space="preserve">Incidents are contained</w:t>
            </w:r>
          </w:p>
        </w:tc>
        <w:tc>
          <w:tcPr/>
          <w:p>
            <w:pPr>
              <w:pStyle w:val="Compact"/>
            </w:pPr>
            <w:r>
              <w:t xml:space="preserve">Quarantine policy applied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RS.MI-02</w:t>
            </w:r>
          </w:p>
        </w:tc>
        <w:tc>
          <w:tcPr/>
          <w:p>
            <w:pPr>
              <w:pStyle w:val="Compact"/>
            </w:pPr>
            <w:r>
              <w:t xml:space="preserve">Incidents are eradicated</w:t>
            </w:r>
          </w:p>
        </w:tc>
        <w:tc>
          <w:tcPr/>
          <w:p>
            <w:pPr>
              <w:pStyle w:val="Compact"/>
            </w:pPr>
            <w:r>
              <w:t xml:space="preserve">Compensating-control register; sustained policy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Standardise the six-artefact incident dossier template</w:t>
      </w:r>
      <w:r>
        <w:br/>
      </w:r>
      <w:r>
        <w:rPr>
          <w:rStyle w:val="VerbatimChar"/>
        </w:rPr>
        <w:t xml:space="preserve">Step 2: Pre-build quarantine policy templates per scope</w:t>
      </w:r>
      <w:r>
        <w:br/>
      </w:r>
      <w:r>
        <w:rPr>
          <w:rStyle w:val="VerbatimChar"/>
        </w:rPr>
        <w:t xml:space="preserve">Step 3: Train SOC analysts on CSW historical query workflow</w:t>
      </w:r>
      <w:r>
        <w:br/>
      </w:r>
      <w:r>
        <w:rPr>
          <w:rStyle w:val="VerbatimChar"/>
        </w:rPr>
        <w:t xml:space="preserve">Step 4: Wire CSW alerts into the IR ticketing system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6bc25a2d1dc583610610323cbe3b65d12442c07"/>
    <w:p>
      <w:pPr>
        <w:pStyle w:val="Heading2"/>
      </w:pPr>
      <w:r>
        <w:t xml:space="preserve">10. Recover (RC) — Recovery Plan Execution, Communications</w:t>
      </w:r>
    </w:p>
    <w:p>
      <w:pPr>
        <w:pStyle w:val="FirstParagraph"/>
      </w:pPr>
      <w:r>
        <w:t xml:space="preserve">CSW is supporting in Recover. The primary controls are backups,</w:t>
      </w:r>
      <w:r>
        <w:t xml:space="preserve"> </w:t>
      </w:r>
      <w:r>
        <w:t xml:space="preserve">communications, and recovery-plan execution.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RC.RP-01</w:t>
            </w:r>
          </w:p>
        </w:tc>
        <w:tc>
          <w:tcPr/>
          <w:p>
            <w:pPr>
              <w:pStyle w:val="Compact"/>
            </w:pPr>
            <w:r>
              <w:t xml:space="preserve">The recovery portion of the incident response plan is executed once initiated from the incident response process</w:t>
            </w:r>
          </w:p>
        </w:tc>
        <w:tc>
          <w:tcPr/>
          <w:p>
            <w:pPr>
              <w:pStyle w:val="Compact"/>
            </w:pPr>
            <w:r>
              <w:t xml:space="preserve">Pre-incident segmentation export available for re-application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RC.RP-02</w:t>
            </w:r>
          </w:p>
        </w:tc>
        <w:tc>
          <w:tcPr/>
          <w:p>
            <w:pPr>
              <w:pStyle w:val="Compact"/>
            </w:pPr>
            <w:r>
              <w:t xml:space="preserve">Recovery actions are selected, scoped, prioritised, and performed</w:t>
            </w:r>
          </w:p>
        </w:tc>
        <w:tc>
          <w:tcPr/>
          <w:p>
            <w:pPr>
              <w:pStyle w:val="Compact"/>
            </w:pPr>
            <w:r>
              <w:t xml:space="preserve">(Out of scope — recovery action selection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RC.RP-03</w:t>
            </w:r>
          </w:p>
        </w:tc>
        <w:tc>
          <w:tcPr/>
          <w:p>
            <w:pPr>
              <w:pStyle w:val="Compact"/>
            </w:pPr>
            <w:r>
              <w:t xml:space="preserve">The integrity of backups and other restoration assets is verified before using them for restoration</w:t>
            </w:r>
          </w:p>
        </w:tc>
        <w:tc>
          <w:tcPr/>
          <w:p>
            <w:pPr>
              <w:pStyle w:val="Compact"/>
            </w:pPr>
            <w:r>
              <w:t xml:space="preserve">(Out of scope — backup integrity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</w:t>
            </w:r>
          </w:p>
        </w:tc>
        <w:tc>
          <w:tcPr/>
          <w:p>
            <w:pPr>
              <w:pStyle w:val="Compact"/>
            </w:pPr>
            <w:r>
              <w:t xml:space="preserve">Critical mission functions and cybersecurity risk management are considered to establish post-incident operational norms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= evidence of new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RC.RP-05</w:t>
            </w:r>
          </w:p>
        </w:tc>
        <w:tc>
          <w:tcPr/>
          <w:p>
            <w:pPr>
              <w:pStyle w:val="Compact"/>
            </w:pPr>
            <w:r>
              <w:t xml:space="preserve">The integrity of restored assets is verified, systems and services are restored, and normal operating status is confirmed</w:t>
            </w:r>
          </w:p>
        </w:tc>
        <w:tc>
          <w:tcPr/>
          <w:p>
            <w:pPr>
              <w:pStyle w:val="Compact"/>
            </w:pPr>
            <w:r>
              <w:t xml:space="preserve">CSW re-baseline after recovery shows package + listening-port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RC.RP-06</w:t>
            </w:r>
          </w:p>
        </w:tc>
        <w:tc>
          <w:tcPr/>
          <w:p>
            <w:pPr>
              <w:pStyle w:val="Compact"/>
            </w:pPr>
            <w:r>
              <w:t xml:space="preserve">The end of incident recovery is declared based on criteria, and incident-related documentation is completed</w:t>
            </w:r>
          </w:p>
        </w:tc>
        <w:tc>
          <w:tcPr/>
          <w:p>
            <w:pPr>
              <w:pStyle w:val="Compact"/>
            </w:pPr>
            <w:r>
              <w:t xml:space="preserve">Final dossier inclusion of post-recovery diff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c2048862773ce2ef68008af8c80f7ed5c8a1e2c"/>
    <w:p>
      <w:pPr>
        <w:pStyle w:val="Heading2"/>
      </w:pPr>
      <w:r>
        <w:t xml:space="preserve">11. Mapping Table — CSF 2.0 Subcategory → CSW Capability</w:t>
      </w:r>
    </w:p>
    <w:p>
      <w:pPr>
        <w:pStyle w:val="FirstParagraph"/>
      </w:pPr>
      <w:r>
        <w:t xml:space="preserve">(Consolidated from sections 5–10)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GV.OV-01/02/03</w:t>
            </w:r>
          </w:p>
        </w:tc>
        <w:tc>
          <w:tcPr/>
          <w:p>
            <w:pPr>
              <w:pStyle w:val="Compact"/>
            </w:pPr>
            <w: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Quarterly evidence pack to management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GV.SC-04/07/09/10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 to 08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Continuous inventory + ADM + 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ID.RA-01/05/06/07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CVE inventory + reachability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PR.AA-01/05</w:t>
            </w:r>
          </w:p>
        </w:tc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Workload-side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Data-in-transit</w:t>
            </w:r>
          </w:p>
        </w:tc>
        <w:tc>
          <w:tcPr/>
          <w:p>
            <w:pPr>
              <w:pStyle w:val="Compact"/>
            </w:pPr>
            <w:r>
              <w:t xml:space="preserve">Plaintext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PR.IR-01/03</w:t>
            </w:r>
          </w:p>
        </w:tc>
        <w:tc>
          <w:tcPr/>
          <w:p>
            <w:pPr>
              <w:pStyle w:val="Compact"/>
            </w:pPr>
            <w:r>
              <w:t xml:space="preserve">Infrastructure resilience</w:t>
            </w:r>
          </w:p>
        </w:tc>
        <w:tc>
          <w:tcPr/>
          <w:p>
            <w:pPr>
              <w:pStyle w:val="Compact"/>
            </w:pPr>
            <w:r>
              <w:t xml:space="preserve">Segmentation enforcement; quarantine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 to 06</w:t>
            </w:r>
          </w:p>
        </w:tc>
        <w:tc>
          <w:tcPr/>
          <w:p>
            <w:pPr>
              <w:pStyle w:val="Compact"/>
            </w:pPr>
            <w:r>
              <w:t xml:space="preserve">Platform security</w:t>
            </w:r>
          </w:p>
        </w:tc>
        <w:tc>
          <w:tcPr/>
          <w:p>
            <w:pPr>
              <w:pStyle w:val="Compact"/>
            </w:pPr>
            <w:r>
              <w:t xml:space="preserve">Baseline + drift + EOL + SIEM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DE.CM-01/03/06/09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Workload telemetry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DE.AE-02/03/04/06/07/08</w:t>
            </w:r>
          </w:p>
        </w:tc>
        <w:tc>
          <w:tcPr/>
          <w:p>
            <w:pPr>
              <w:pStyle w:val="Compact"/>
            </w:pPr>
            <w:r>
              <w:t xml:space="preserve">Adverse event analysis</w:t>
            </w:r>
          </w:p>
        </w:tc>
        <w:tc>
          <w:tcPr/>
          <w:p>
            <w:pPr>
              <w:pStyle w:val="Compact"/>
            </w:pPr>
            <w:r>
              <w:t xml:space="preserve">Forensic timeline + SIEM correlation + threat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 to 05</w:t>
            </w:r>
          </w:p>
        </w:tc>
        <w:tc>
          <w:tcPr/>
          <w:p>
            <w:pPr>
              <w:pStyle w:val="Compact"/>
            </w:pPr>
            <w:r>
              <w:t xml:space="preserve">Incident management</w:t>
            </w:r>
          </w:p>
        </w:tc>
        <w:tc>
          <w:tcPr/>
          <w:p>
            <w:pPr>
              <w:pStyle w:val="Compact"/>
            </w:pPr>
            <w:r>
              <w:t xml:space="preserve">Six-artefact dossier + severity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RS.AN-03/06/07/08</w:t>
            </w:r>
          </w:p>
        </w:tc>
        <w:tc>
          <w:tcPr/>
          <w:p>
            <w:pPr>
              <w:pStyle w:val="Compact"/>
            </w:pPr>
            <w:r>
              <w:t xml:space="preserve">Incident analysis</w:t>
            </w:r>
          </w:p>
        </w:tc>
        <w:tc>
          <w:tcPr/>
          <w:p>
            <w:pPr>
              <w:pStyle w:val="Compact"/>
            </w:pPr>
            <w:r>
              <w:t xml:space="preserve">Process + flow timeline + magnitude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RS.MI-01/02</w:t>
            </w:r>
          </w:p>
        </w:tc>
        <w:tc>
          <w:tcPr/>
          <w:p>
            <w:pPr>
              <w:pStyle w:val="Compact"/>
            </w:pPr>
            <w:r>
              <w:t xml:space="preserve">Incident mitigation</w:t>
            </w:r>
          </w:p>
        </w:tc>
        <w:tc>
          <w:tcPr/>
          <w:p>
            <w:pPr>
              <w:pStyle w:val="Compact"/>
            </w:pPr>
            <w:r>
              <w:t xml:space="preserve">Quarantine policy +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RC.RP-04/05/06</w:t>
            </w:r>
          </w:p>
        </w:tc>
        <w:tc>
          <w:tcPr/>
          <w:p>
            <w:pPr>
              <w:pStyle w:val="Compact"/>
            </w:pPr>
            <w:r>
              <w:t xml:space="preserve">Recovery actions (evidence)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+ re-baseline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0eaee8032907ffed24b7130868eb9d36cdb7838"/>
    <w:p>
      <w:pPr>
        <w:pStyle w:val="Heading2"/>
      </w:pPr>
      <w:r>
        <w:t xml:space="preserve">12. Auditor / Assessor Response Guide</w:t>
      </w:r>
    </w:p>
    <w:p>
      <w:pPr>
        <w:pStyle w:val="FirstParagraph"/>
      </w:pPr>
      <w:r>
        <w:t xml:space="preserve">When a CSF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CSF Profile and current Tier evidence"</w:t>
            </w:r>
          </w:p>
        </w:tc>
        <w:tc>
          <w:tcPr/>
          <w:p>
            <w:pPr>
              <w:pStyle w:val="Compact"/>
            </w:pPr>
            <w:r>
              <w:t xml:space="preserve">Quarterly evidence pack + Profile-aligned scope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ID.AM-01/02/03 asset &amp; flow inventory"</w:t>
            </w:r>
          </w:p>
        </w:tc>
        <w:tc>
          <w:tcPr/>
          <w:p>
            <w:pPr>
              <w:pStyle w:val="Compact"/>
            </w:pPr>
            <w:r>
              <w:t xml:space="preserve">Inventory CSV + ADM dependency graph per crit_band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ID.RA-01/05/06 vulnerability evidence"</w:t>
            </w:r>
          </w:p>
        </w:tc>
        <w:tc>
          <w:tcPr/>
          <w:p>
            <w:pPr>
              <w:pStyle w:val="Compact"/>
            </w:pPr>
            <w:r>
              <w:t xml:space="preserve">CVE list per workload + reachability scoring + remediation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PR.IR-01 network protection"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PR.PS-01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DE.CM-09 continuous monitoring evidence"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RS.AN-03 incident analysis"</w:t>
            </w:r>
          </w:p>
        </w:tc>
        <w:tc>
          <w:tcPr/>
          <w:p>
            <w:pPr>
              <w:pStyle w:val="Compact"/>
            </w:pPr>
            <w:r>
              <w:t xml:space="preserve">Six-artefact dossier per declared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GV.SC-07 supplier monitoring evidence"</w:t>
            </w:r>
          </w:p>
        </w:tc>
        <w:tc>
          <w:tcPr/>
          <w:p>
            <w:pPr>
              <w:pStyle w:val="Compact"/>
            </w:pPr>
            <w:r>
              <w:t xml:space="preserve">Vendor-egress drift report + reconciliation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7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CSF 2.0 wraps and references many control catalogues. Key</w:t>
      </w:r>
      <w:r>
        <w:t xml:space="preserve"> </w:t>
      </w:r>
      <w:r>
        <w:t xml:space="preserve">cross-references in this repository: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the most common Informative Reference</w:t>
      </w:r>
      <w:r>
        <w:t xml:space="preserve"> </w:t>
      </w:r>
      <w:r>
        <w:t xml:space="preserve">source under CSF 2.0 Subcategories. Many</w:t>
      </w:r>
      <w:r>
        <w:t xml:space="preserve"> </w:t>
      </w:r>
      <w:r>
        <w:rPr>
          <w:rStyle w:val="VerbatimChar"/>
        </w:rPr>
        <w:t xml:space="preserve">PR.PS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Subcategories cite specific 800-53 controls. See</w:t>
      </w:r>
      <w:r>
        <w:t xml:space="preserve"> </w:t>
      </w:r>
      <w:hyperlink r:id="rId50">
        <w:r>
          <w:rPr>
            <w:rStyle w:val="Hyperlink"/>
          </w:rPr>
          <w:t xml:space="preserve">800-53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800-207 (Zero Trust Architecture)</w:t>
      </w:r>
      <w:r>
        <w:t xml:space="preserve"> </w:t>
      </w:r>
      <w:r>
        <w:t xml:space="preserve">— the seven ZTA</w:t>
      </w:r>
      <w:r>
        <w:t xml:space="preserve"> </w:t>
      </w:r>
      <w:r>
        <w:t xml:space="preserve">tenets implement many</w:t>
      </w:r>
      <w:r>
        <w:t xml:space="preserve"> </w:t>
      </w:r>
      <w:r>
        <w:rPr>
          <w:rStyle w:val="VerbatimChar"/>
        </w:rPr>
        <w:t xml:space="preserve">PR.AA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outcomes. See</w:t>
      </w:r>
      <w:r>
        <w:t xml:space="preserve"> </w:t>
      </w:r>
      <w:hyperlink r:id="rId51">
        <w:r>
          <w:rPr>
            <w:rStyle w:val="Hyperlink"/>
          </w:rPr>
          <w:t xml:space="preserve">800-207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 Critical Security Controls v8.1</w:t>
      </w:r>
      <w:r>
        <w:t xml:space="preserve"> </w:t>
      </w:r>
      <w:r>
        <w:t xml:space="preserve">— common Informative</w:t>
      </w:r>
      <w:r>
        <w:t xml:space="preserve"> </w:t>
      </w:r>
      <w:r>
        <w:t xml:space="preserve">Reference; CIS Safeguard 4.1 ↔ PR.PS-01, 13.x ↔ DE.CM-01, etc.</w:t>
      </w:r>
      <w:r>
        <w:t xml:space="preserve"> </w:t>
      </w:r>
      <w:r>
        <w:t xml:space="preserve">See</w:t>
      </w:r>
      <w:r>
        <w:t xml:space="preserve"> </w:t>
      </w:r>
      <w:hyperlink r:id="rId52">
        <w:r>
          <w:rPr>
            <w:rStyle w:val="Hyperlink"/>
          </w:rPr>
          <w:t xml:space="preserve">CIS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</w:t>
      </w:r>
      <w:r>
        <w:t xml:space="preserve"> </w:t>
      </w:r>
      <w:r>
        <w:t xml:space="preserve">— Level 2 ≈ NIST 800-171 ≈ subset of 800-53,</w:t>
      </w:r>
      <w:r>
        <w:t xml:space="preserve"> </w:t>
      </w:r>
      <w:r>
        <w:t xml:space="preserve">which is in turn cited under CSF Subcategories. See</w:t>
      </w:r>
      <w:r>
        <w:t xml:space="preserve"> </w:t>
      </w:r>
      <w:hyperlink r:id="rId53">
        <w:r>
          <w:rPr>
            <w:rStyle w:val="Hyperlink"/>
          </w:rPr>
          <w:t xml:space="preserve">CMMC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cited as Informative</w:t>
      </w:r>
      <w:r>
        <w:t xml:space="preserve"> </w:t>
      </w:r>
      <w:r>
        <w:t xml:space="preserve">References under many CSF Subcategories. See</w:t>
      </w:r>
      <w:r>
        <w:t xml:space="preserve"> </w:t>
      </w:r>
      <w:hyperlink r:id="rId54">
        <w:r>
          <w:rPr>
            <w:rStyle w:val="Hyperlink"/>
          </w:rPr>
          <w:t xml:space="preserve">ISO 27001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CISA Zero Trust Maturity Model</w:t>
      </w:r>
      <w:r>
        <w:t xml:space="preserve"> </w:t>
      </w:r>
      <w:r>
        <w:t xml:space="preserve">— sector-government overlay</w:t>
      </w:r>
      <w:r>
        <w:t xml:space="preserve"> </w:t>
      </w:r>
      <w:r>
        <w:t xml:space="preserve">that aligns with CSF 2.0 outcomes. See</w:t>
      </w:r>
      <w:r>
        <w:t xml:space="preserve"> </w:t>
      </w:r>
      <w:hyperlink r:id="rId55">
        <w:r>
          <w:rPr>
            <w:rStyle w:val="Hyperlink"/>
          </w:rPr>
          <w:t xml:space="preserve">CISA ZTMM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CSF outcomes are the reuse language for CAF A–D (see</w:t>
      </w:r>
      <w:r>
        <w:t xml:space="preserve"> </w:t>
      </w:r>
      <w:hyperlink r:id="rId56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Start w:id="59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runbook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NIST Cybersecurity Framework 2.0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NIST publishes the authoritative CSF 2.0 text and Subcategory list</w:t>
      </w:r>
      <w:r>
        <w:t xml:space="preserve"> </w:t>
      </w:r>
      <w:r>
        <w:t xml:space="preserve">at</w:t>
      </w:r>
      <w:r>
        <w:t xml:space="preserve"> </w:t>
      </w:r>
      <w:hyperlink r:id="rId58">
        <w:r>
          <w:rPr>
            <w:rStyle w:val="Hyperlink"/>
          </w:rPr>
          <w:t xml:space="preserve">https://www.nist.gov/cyberframework</w:t>
        </w:r>
      </w:hyperlink>
      <w:r>
        <w:t xml:space="preserve">. Always validate against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current effective version</w:t>
      </w:r>
      <w:r>
        <w:t xml:space="preserve"> </w:t>
      </w:r>
      <w:r>
        <w:t xml:space="preserve">of CSF, including any released</w:t>
      </w:r>
      <w:r>
        <w:t xml:space="preserve"> </w:t>
      </w:r>
      <w:r>
        <w:t xml:space="preserve">Quick-Start Guides, Profiles, and Implementation Examples.</w:t>
      </w:r>
    </w:p>
    <w:p>
      <w:pPr>
        <w:pStyle w:val="Compact"/>
        <w:numPr>
          <w:ilvl w:val="0"/>
          <w:numId w:val="1020"/>
        </w:numPr>
      </w:pPr>
      <w:r>
        <w:t xml:space="preserve">CSF 2.0 is an outcomes framework and does not prescribe specific</w:t>
      </w:r>
      <w:r>
        <w:t xml:space="preserve"> </w:t>
      </w:r>
      <w:r>
        <w:t xml:space="preserve">controls. Mapping a CSW capability to a Subcategory does not by</w:t>
      </w:r>
      <w:r>
        <w:t xml:space="preserve"> </w:t>
      </w:r>
      <w:r>
        <w:t xml:space="preserve">itself satisfy the Subcategory — the organisation's Profile,</w:t>
      </w:r>
      <w:r>
        <w:t xml:space="preserve"> </w:t>
      </w:r>
      <w:r>
        <w:t xml:space="preserve">Tier, and accompanying control set determine the depth of work</w:t>
      </w:r>
      <w:r>
        <w:t xml:space="preserve"> </w:t>
      </w:r>
      <w:r>
        <w:t xml:space="preserve">expected.</w:t>
      </w:r>
    </w:p>
    <w:p>
      <w:pPr>
        <w:pStyle w:val="Compact"/>
        <w:numPr>
          <w:ilvl w:val="0"/>
          <w:numId w:val="1020"/>
        </w:numPr>
      </w:pPr>
      <w:r>
        <w:t xml:space="preserve">CSW does not address physical/environmental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PR.IR-02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DE.CM-02</w:t>
      </w:r>
      <w:r>
        <w:t xml:space="preserve">), backup/recovery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RC.RP-02/03</w:t>
      </w:r>
      <w:r>
        <w:t xml:space="preserve">), or training/HR-style Subcategories. Reference</w:t>
      </w:r>
      <w:r>
        <w:t xml:space="preserve"> </w:t>
      </w:r>
      <w:r>
        <w:t xml:space="preserve">the appropriate parts of your programme 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CSF 2.0 currency and current Cisco product capability before being</w:t>
      </w:r>
      <w:r>
        <w:t xml:space="preserve"> </w:t>
      </w:r>
      <w:r>
        <w:t xml:space="preserve">relied upon in a formal compliance engagement.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CIS-Controls-v8/CSW-CIS-Technical-Runbook.md" TargetMode="External" /><Relationship Type="http://schemas.openxmlformats.org/officeDocument/2006/relationships/hyperlink" Id="rId55" Target="../CISA-ZeroTrust/CSW-CISA-ZTMM-Technical-Runbook.md" TargetMode="External" /><Relationship Type="http://schemas.openxmlformats.org/officeDocument/2006/relationships/hyperlink" Id="rId53" Target="../CMMC-2/CSW-CMMC-Technical-Runbook.md" TargetMode="External" /><Relationship Type="http://schemas.openxmlformats.org/officeDocument/2006/relationships/hyperlink" Id="rId54" Target="../ISO-27001-2022/CSW-ISO27001-Technical-Runbook.md" TargetMode="External" /><Relationship Type="http://schemas.openxmlformats.org/officeDocument/2006/relationships/hyperlink" Id="rId51" Target="../NIST-800-207/CSW-NIST-800-207-Technical-Runbook.md" TargetMode="External" /><Relationship Type="http://schemas.openxmlformats.org/officeDocument/2006/relationships/hyperlink" Id="rId50" Target="../NIST-800-53/CSW-NIST-800-53-Technical-Runbook.md" TargetMode="External" /><Relationship Type="http://schemas.openxmlformats.org/officeDocument/2006/relationships/hyperlink" Id="rId5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8" Target="https://www.nist.gov/cyberframe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CIS-Controls-v8/CSW-CIS-Technical-Runbook.md" TargetMode="External" /><Relationship Type="http://schemas.openxmlformats.org/officeDocument/2006/relationships/hyperlink" Id="rId55" Target="../CISA-ZeroTrust/CSW-CISA-ZTMM-Technical-Runbook.md" TargetMode="External" /><Relationship Type="http://schemas.openxmlformats.org/officeDocument/2006/relationships/hyperlink" Id="rId53" Target="../CMMC-2/CSW-CMMC-Technical-Runbook.md" TargetMode="External" /><Relationship Type="http://schemas.openxmlformats.org/officeDocument/2006/relationships/hyperlink" Id="rId54" Target="../ISO-27001-2022/CSW-ISO27001-Technical-Runbook.md" TargetMode="External" /><Relationship Type="http://schemas.openxmlformats.org/officeDocument/2006/relationships/hyperlink" Id="rId51" Target="../NIST-800-207/CSW-NIST-800-207-Technical-Runbook.md" TargetMode="External" /><Relationship Type="http://schemas.openxmlformats.org/officeDocument/2006/relationships/hyperlink" Id="rId50" Target="../NIST-800-53/CSW-NIST-800-53-Technical-Runbook.md" TargetMode="External" /><Relationship Type="http://schemas.openxmlformats.org/officeDocument/2006/relationships/hyperlink" Id="rId5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8" Target="https://www.nist.gov/cyberframe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2026-10-15T18:12:46Z</dcterms:created>
  <dcterms:modified xsi:type="dcterms:W3CDTF">2026-10-15T18:12:46Z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