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Xee1aa6d1bb772972f4fd999e8243b151cdf2953"/>
    <w:p>
      <w:pPr>
        <w:pStyle w:val="Heading1"/>
      </w:pPr>
      <w:r>
        <w:t xml:space="preserve">Cisco Secure Workload — NIST Cybersecurity Framework 2.0</w:t>
      </w:r>
    </w:p>
    <w:bookmarkStart w:id="9" w:name="X425fc6c36110703432c404cf23f6662505f9707"/>
    <w:p>
      <w:pPr>
        <w:pStyle w:val="Heading2"/>
      </w:pPr>
      <w:r>
        <w:t xml:space="preserve">Reference Design | Govern, Identify, Protect, Detect, Respond, Recover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 (draft — pending SME review) |</w:t>
      </w:r>
      <w:r>
        <w:t xml:space="preserve"> </w:t>
      </w:r>
      <w:r>
        <w:rPr>
          <w:b/>
          <w:bCs/>
        </w:rPr>
        <w:t xml:space="preserve">Standard:</w:t>
      </w:r>
      <w:r>
        <w:t xml:space="preserve"> </w:t>
      </w:r>
      <w:r>
        <w:t xml:space="preserve">NIST Cybersecurity Framework 2.0 (February 2024) |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Security teams using CSF 2.0 as their organising framework or as a top-level scorecard |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Hybrid (on-prem + cloud + containers)</w:t>
      </w:r>
    </w:p>
    <w:p>
      <w:r>
        <w:pict>
          <v:rect style="width:0;height:1.5pt" o:hralign="center" o:hrstd="t" o:hr="t"/>
        </w:pict>
      </w:r>
    </w:p>
    <w:bookmarkEnd w:id="9"/>
    <w:bookmarkStart w:id="10" w:name="readers-guide"/>
    <w:p>
      <w:pPr>
        <w:pStyle w:val="Heading2"/>
      </w:pPr>
      <w:r>
        <w:t xml:space="preserve">Reader's Guide</w:t>
      </w:r>
    </w:p>
    <w:p>
      <w:pPr>
        <w:pStyle w:val="FirstParagraph"/>
      </w:pPr>
      <w:r>
        <w:rPr>
          <w:b/>
          <w:bCs/>
        </w:rPr>
        <w:t xml:space="preserve">Who this is for.</w:t>
      </w:r>
      <w:r>
        <w:t xml:space="preserve"> </w:t>
      </w:r>
      <w:r>
        <w:t xml:space="preserve">Organisations that have adopted the NIST</w:t>
      </w:r>
      <w:r>
        <w:t xml:space="preserve"> </w:t>
      </w:r>
      <w:r>
        <w:t xml:space="preserve">Cybersecurity Framework 2.0 (released February 2024) as their</w:t>
      </w:r>
      <w:r>
        <w:t xml:space="preserve"> </w:t>
      </w:r>
      <w:r>
        <w:t xml:space="preserve">top-level cyber programme reference, or that are reporting CSF</w:t>
      </w:r>
      <w:r>
        <w:t xml:space="preserve"> </w:t>
      </w:r>
      <w:r>
        <w:t xml:space="preserve">posture to their board, regulator, or insurer. CSF 2.0 is not a</w:t>
      </w:r>
      <w:r>
        <w:t xml:space="preserve"> </w:t>
      </w:r>
      <w:r>
        <w:t xml:space="preserve">control catalogue — it's an outcomes framework that</w:t>
      </w:r>
      <w:r>
        <w:t xml:space="preserve"> </w:t>
      </w:r>
      <w:r>
        <w:rPr>
          <w:b/>
          <w:bCs/>
        </w:rPr>
        <w:t xml:space="preserve">wraps</w:t>
      </w:r>
      <w:r>
        <w:t xml:space="preserve"> </w:t>
      </w:r>
      <w:r>
        <w:t xml:space="preserve">control catalogues like NIST 800-53, ISO 27001, CIS Controls, and</w:t>
      </w:r>
      <w:r>
        <w:t xml:space="preserve"> </w:t>
      </w:r>
      <w:r>
        <w:t xml:space="preserve">others through Informative References. The right way to read this</w:t>
      </w:r>
      <w:r>
        <w:t xml:space="preserve"> </w:t>
      </w:r>
      <w:r>
        <w:t xml:space="preserve">reference design is as the "where does CSW evidence land in the CSF</w:t>
      </w:r>
      <w:r>
        <w:t xml:space="preserve"> </w:t>
      </w:r>
      <w:r>
        <w:t xml:space="preserve">narrative" view.</w:t>
      </w:r>
    </w:p>
    <w:p>
      <w:pPr>
        <w:pStyle w:val="BodyText"/>
      </w:pPr>
      <w:r>
        <w:rPr>
          <w:b/>
          <w:bCs/>
        </w:rPr>
        <w:t xml:space="preserve">What changed in CSF 2.0.</w:t>
      </w:r>
      <w:r>
        <w:t xml:space="preserve"> </w:t>
      </w:r>
      <w:r>
        <w:t xml:space="preserve">The headline change from CSF 1.1 is</w:t>
      </w:r>
      <w:r>
        <w:t xml:space="preserve"> </w:t>
      </w:r>
      <w:r>
        <w:t xml:space="preserve">the addition of a sixth Function —</w:t>
      </w:r>
      <w:r>
        <w:t xml:space="preserve"> </w:t>
      </w:r>
      <w:r>
        <w:rPr>
          <w:b/>
          <w:bCs/>
        </w:rPr>
        <w:t xml:space="preserve">Govern (GV)</w:t>
      </w:r>
      <w:r>
        <w:t xml:space="preserve"> </w:t>
      </w:r>
      <w:r>
        <w:t xml:space="preserve">— that sits</w:t>
      </w:r>
      <w:r>
        <w:t xml:space="preserve"> </w:t>
      </w:r>
      <w:r>
        <w:t xml:space="preserve">above Identify, Protect, Detect, Respond, Recover. Govern formalises</w:t>
      </w:r>
      <w:r>
        <w:t xml:space="preserve"> </w:t>
      </w:r>
      <w:r>
        <w:t xml:space="preserve">expectations around organisational context, risk strategy, roles</w:t>
      </w:r>
      <w:r>
        <w:t xml:space="preserve"> </w:t>
      </w:r>
      <w:r>
        <w:t xml:space="preserve">and responsibilities, policy, oversight, and cybersecurity supply</w:t>
      </w:r>
      <w:r>
        <w:t xml:space="preserve"> </w:t>
      </w:r>
      <w:r>
        <w:t xml:space="preserve">chain risk management. CSF 2.0 also reorganises and refines several</w:t>
      </w:r>
      <w:r>
        <w:t xml:space="preserve"> </w:t>
      </w:r>
      <w:r>
        <w:t xml:space="preserve">Categories and Subcategories within the existing five Functions.</w:t>
      </w:r>
    </w:p>
    <w:p>
      <w:pPr>
        <w:pStyle w:val="BodyText"/>
      </w:pPr>
      <w:r>
        <w:rPr>
          <w:b/>
          <w:bCs/>
        </w:rPr>
        <w:t xml:space="preserve">Questions this reference design helps you answer: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GV.OV (Oversight) and GV.SC (Supply Chain): can I produce a</w:t>
      </w:r>
      <w:r>
        <w:rPr>
          <w:i/>
          <w:iCs/>
        </w:rPr>
        <w:t xml:space="preserve"> </w:t>
      </w:r>
      <w:r>
        <w:rPr>
          <w:i/>
          <w:iCs/>
        </w:rPr>
        <w:t xml:space="preserve">recurring evidence pack the management body uses to discharge</w:t>
      </w:r>
      <w:r>
        <w:rPr>
          <w:i/>
          <w:iCs/>
        </w:rPr>
        <w:t xml:space="preserve"> </w:t>
      </w:r>
      <w:r>
        <w:rPr>
          <w:i/>
          <w:iCs/>
        </w:rPr>
        <w:t xml:space="preserve">its governance obligation, with technical detail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green-yellow-red dashboards alone?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ID.AM (Asset Management): can I produce a current inventory of</w:t>
      </w:r>
      <w:r>
        <w:rPr>
          <w:i/>
          <w:iCs/>
        </w:rPr>
        <w:t xml:space="preserve"> </w:t>
      </w:r>
      <w:r>
        <w:rPr>
          <w:i/>
          <w:iCs/>
        </w:rPr>
        <w:t xml:space="preserve">CSW-covered workloads, the software running on them, the data they</w:t>
      </w:r>
      <w:r>
        <w:rPr>
          <w:i/>
          <w:iCs/>
        </w:rPr>
        <w:t xml:space="preserve"> </w:t>
      </w:r>
      <w:r>
        <w:rPr>
          <w:i/>
          <w:iCs/>
        </w:rPr>
        <w:t xml:space="preserve">process, and the systems they depend on, refreshed continuously and</w:t>
      </w:r>
      <w:r>
        <w:rPr>
          <w:i/>
          <w:iCs/>
        </w:rPr>
        <w:t xml:space="preserve"> </w:t>
      </w:r>
      <w:r>
        <w:rPr>
          <w:i/>
          <w:iCs/>
        </w:rPr>
        <w:t xml:space="preserve">reconciled with the enterprise source of truth?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PR.IR (Infrastructure Resilience) and PR.PS (Platform Security):</w:t>
      </w:r>
      <w:r>
        <w:rPr>
          <w:i/>
          <w:iCs/>
        </w:rPr>
        <w:t xml:space="preserve"> </w:t>
      </w:r>
      <w:r>
        <w:rPr>
          <w:i/>
          <w:iCs/>
        </w:rPr>
        <w:t xml:space="preserve">can I demonstrate that network architecture is least-privileged</w:t>
      </w:r>
      <w:r>
        <w:rPr>
          <w:i/>
          <w:iCs/>
        </w:rPr>
        <w:t xml:space="preserve"> </w:t>
      </w:r>
      <w:r>
        <w:rPr>
          <w:i/>
          <w:iCs/>
        </w:rPr>
        <w:t xml:space="preserve">at the workload level (PR.IR-02), that platforms are configured</w:t>
      </w:r>
      <w:r>
        <w:rPr>
          <w:i/>
          <w:iCs/>
        </w:rPr>
        <w:t xml:space="preserve"> </w:t>
      </w:r>
      <w:r>
        <w:rPr>
          <w:i/>
          <w:iCs/>
        </w:rPr>
        <w:t xml:space="preserve">to a baseline (PR.PS-01), and that software is maintained</w:t>
      </w:r>
      <w:r>
        <w:rPr>
          <w:i/>
          <w:iCs/>
        </w:rPr>
        <w:t xml:space="preserve"> </w:t>
      </w:r>
      <w:r>
        <w:rPr>
          <w:i/>
          <w:iCs/>
        </w:rPr>
        <w:t xml:space="preserve">(PR.PS-02)?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DE.CM (Continuous Monitoring): can I prove that workloads are</w:t>
      </w:r>
      <w:r>
        <w:rPr>
          <w:i/>
          <w:iCs/>
        </w:rPr>
        <w:t xml:space="preserve"> </w:t>
      </w:r>
      <w:r>
        <w:rPr>
          <w:i/>
          <w:iCs/>
        </w:rPr>
        <w:t xml:space="preserve">continuously monitored (DE.CM-09), that the network is monitored</w:t>
      </w:r>
      <w:r>
        <w:rPr>
          <w:i/>
          <w:iCs/>
        </w:rPr>
        <w:t xml:space="preserve"> </w:t>
      </w:r>
      <w:r>
        <w:rPr>
          <w:i/>
          <w:iCs/>
        </w:rPr>
        <w:t xml:space="preserve">(DE.CM-01), and that adverse events are detected with sufficient</w:t>
      </w:r>
      <w:r>
        <w:rPr>
          <w:i/>
          <w:iCs/>
        </w:rPr>
        <w:t xml:space="preserve"> </w:t>
      </w:r>
      <w:r>
        <w:rPr>
          <w:i/>
          <w:iCs/>
        </w:rPr>
        <w:t xml:space="preserve">detail to investigate (DE.AE)?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RS.MI (Incident Mitigation) and RS.AN (Incident Analysis): when</w:t>
      </w:r>
      <w:r>
        <w:rPr>
          <w:i/>
          <w:iCs/>
        </w:rPr>
        <w:t xml:space="preserve"> </w:t>
      </w:r>
      <w:r>
        <w:rPr>
          <w:i/>
          <w:iCs/>
        </w:rPr>
        <w:t xml:space="preserve">an event is declared, can I assemble the forensic context to</w:t>
      </w:r>
      <w:r>
        <w:rPr>
          <w:i/>
          <w:iCs/>
        </w:rPr>
        <w:t xml:space="preserve"> </w:t>
      </w:r>
      <w:r>
        <w:rPr>
          <w:i/>
          <w:iCs/>
        </w:rPr>
        <w:t xml:space="preserve">support analysis and apply containment without the playbook</w:t>
      </w:r>
      <w:r>
        <w:rPr>
          <w:i/>
          <w:iCs/>
        </w:rPr>
        <w:t xml:space="preserve"> </w:t>
      </w:r>
      <w:r>
        <w:rPr>
          <w:i/>
          <w:iCs/>
        </w:rPr>
        <w:t xml:space="preserve">stalling on data-gathering?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RC.RP (Incident Recovery Plan Execution): after recovery, can I</w:t>
      </w:r>
      <w:r>
        <w:rPr>
          <w:i/>
          <w:iCs/>
        </w:rPr>
        <w:t xml:space="preserve"> </w:t>
      </w:r>
      <w:r>
        <w:rPr>
          <w:i/>
          <w:iCs/>
        </w:rPr>
        <w:t xml:space="preserve">show diff between pre-incident and post-incident segmentation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state, demonstrating the control surface actually changed?</w:t>
      </w:r>
    </w:p>
    <w:p>
      <w:pPr>
        <w:pStyle w:val="FirstParagraph"/>
      </w:pPr>
      <w:r>
        <w:rPr>
          <w:b/>
          <w:bCs/>
        </w:rPr>
        <w:t xml:space="preserve">What you'll need.</w:t>
      </w:r>
      <w:r>
        <w:t xml:space="preserve"> </w:t>
      </w:r>
      <w:r>
        <w:t xml:space="preserve">Your current CSF Profile (target Tier and</w:t>
      </w:r>
      <w:r>
        <w:t xml:space="preserve"> </w:t>
      </w:r>
      <w:r>
        <w:t xml:space="preserve">prioritised Subcategories), your asset inventory source of truth,</w:t>
      </w:r>
      <w:r>
        <w:t xml:space="preserve"> </w:t>
      </w:r>
      <w:r>
        <w:t xml:space="preserve">your incident response process, and the SIEM destination for log</w:t>
      </w:r>
      <w:r>
        <w:t xml:space="preserve"> </w:t>
      </w:r>
      <w:r>
        <w:t xml:space="preserve">forwarding. CSW augments these; it does not author the Profile.</w:t>
      </w:r>
    </w:p>
    <w:p>
      <w:pPr>
        <w:pStyle w:val="BodyText"/>
      </w:pPr>
      <w:r>
        <w:rPr>
          <w:b/>
          <w:bCs/>
        </w:rPr>
        <w:t xml:space="preserve">Where to start.</w:t>
      </w:r>
      <w:r>
        <w:t xml:space="preserve"> </w:t>
      </w:r>
      <w:r>
        <w:t xml:space="preserve">Section 2 if you're scoping CSW relative to your</w:t>
      </w:r>
      <w:r>
        <w:t xml:space="preserve"> </w:t>
      </w:r>
      <w:r>
        <w:t xml:space="preserve">CSF Profile; sections 3–4 for the scope tree and the policy set that</w:t>
      </w:r>
      <w:r>
        <w:t xml:space="preserve"> </w:t>
      </w:r>
      <w:r>
        <w:t xml:space="preserve">make the Protect outcomes demonstrable; section 5 if Govern is the new</w:t>
      </w:r>
      <w:r>
        <w:t xml:space="preserve"> </w:t>
      </w:r>
      <w:r>
        <w:t xml:space="preserve">gap (most common post-2.0 question); sections 6–10 walk Identify</w:t>
      </w:r>
      <w:r>
        <w:t xml:space="preserve"> </w:t>
      </w:r>
      <w:r>
        <w:t xml:space="preserve">through Recover mapped to CSW.</w:t>
      </w:r>
    </w:p>
    <w:p>
      <w:r>
        <w:pict>
          <v:rect style="width:0;height:1.5pt" o:hralign="center" o:hrstd="t" o:hr="t"/>
        </w:pict>
      </w:r>
    </w:p>
    <w:bookmarkEnd w:id="10"/>
    <w:bookmarkStart w:id="13" w:name="X9ea0bc5b10255d5807114f32c5382b01b68ee39"/>
    <w:p>
      <w:pPr>
        <w:pStyle w:val="Heading2"/>
      </w:pPr>
      <w:r>
        <w:t xml:space="preserve">CSW primer — if you are new to Cisco Secure Workload</w:t>
      </w:r>
    </w:p>
    <w:p>
      <w:pPr>
        <w:pStyle w:val="FirstParagraph"/>
      </w:pPr>
      <w:r>
        <w:t xml:space="preserve">Cisco Secure Workload (CSW) is a</w:t>
      </w:r>
      <w:r>
        <w:t xml:space="preserve"> </w:t>
      </w:r>
      <w:r>
        <w:rPr>
          <w:b/>
          <w:bCs/>
        </w:rPr>
        <w:t xml:space="preserve">workload protection platform</w:t>
      </w:r>
      <w:r>
        <w:t xml:space="preserve">. A lightweight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on each server/VM/container observes processes and network flows;</w:t>
      </w:r>
      <w:r>
        <w:t xml:space="preserve"> </w:t>
      </w:r>
      <w:r>
        <w:rPr>
          <w:b/>
          <w:bCs/>
        </w:rPr>
        <w:t xml:space="preserve">cloud connectors</w:t>
      </w:r>
      <w:r>
        <w:t xml:space="preserve"> </w:t>
      </w:r>
      <w:r>
        <w:t xml:space="preserve">add AWS/Azure/GCP inventory where agents are not deployed.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CSW 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Why compliance teams care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Logical boundary (CDE, PHI zone, CUI enclave)</w:t>
            </w:r>
          </w:p>
        </w:tc>
        <w:tc>
          <w:tcPr/>
          <w:p>
            <w:pPr>
              <w:pStyle w:val="Compact"/>
            </w:pPr>
            <w:r>
              <w:t xml:space="preserve">Defines the systems you must prove are isolated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Label / filter</w:t>
            </w:r>
          </w:p>
        </w:tc>
        <w:tc>
          <w:tcPr/>
          <w:p>
            <w:pPr>
              <w:pStyle w:val="Compact"/>
            </w:pPr>
            <w:r>
              <w:t xml:space="preserve">Tag or query assigning workloads to scopes</w:t>
            </w:r>
          </w:p>
        </w:tc>
        <w:tc>
          <w:tcPr/>
          <w:p>
            <w:pPr>
              <w:pStyle w:val="Compact"/>
            </w:pPr>
            <w:r>
              <w:t xml:space="preserve">Automates scope membership — reduces drift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Application Dependency Mapping from observed traffic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</w:t>
            </w:r>
            <w:r>
              <w:t xml:space="preserve"> </w:t>
            </w:r>
            <w:r>
              <w:t xml:space="preserve">network/data-flow diagram for assessors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Workspace</w:t>
            </w:r>
          </w:p>
        </w:tc>
        <w:tc>
          <w:tcPr/>
          <w:p>
            <w:pPr>
              <w:pStyle w:val="Compact"/>
            </w:pPr>
            <w:r>
              <w:t xml:space="preserve">Policy container for one scope or application</w:t>
            </w:r>
          </w:p>
        </w:tc>
        <w:tc>
          <w:tcPr/>
          <w:p>
            <w:pPr>
              <w:pStyle w:val="Compact"/>
            </w:pPr>
            <w:r>
              <w:t xml:space="preserve">Where allow/deny rules are authored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Monitor → Simulation → Enforce</w:t>
            </w:r>
          </w:p>
        </w:tc>
        <w:tc>
          <w:tcPr/>
          <w:p>
            <w:pPr>
              <w:pStyle w:val="Compact"/>
            </w:pPr>
            <w:r>
              <w:t xml:space="preserve">Safe rollout sequence</w:t>
            </w:r>
          </w:p>
        </w:tc>
        <w:tc>
          <w:tcPr/>
          <w:p>
            <w:pPr>
              <w:pStyle w:val="Compact"/>
            </w:pPr>
            <w:r>
              <w:t xml:space="preserve">Simulation = change-board evidence before blocking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Denied Connections</w:t>
            </w:r>
          </w:p>
        </w:tc>
        <w:tc>
          <w:tcPr/>
          <w:p>
            <w:pPr>
              <w:pStyle w:val="Compact"/>
            </w:pPr>
            <w:r>
              <w:t xml:space="preserve">Log of flows blocked by policy</w:t>
            </w:r>
          </w:p>
        </w:tc>
        <w:tc>
          <w:tcPr/>
          <w:p>
            <w:pPr>
              <w:pStyle w:val="Compact"/>
            </w:pPr>
            <w:r>
              <w:t xml:space="preserve">Primary proof that enforcement</w:t>
            </w:r>
            <w:r>
              <w:t xml:space="preserve"> </w:t>
            </w:r>
            <w:r>
              <w:rPr>
                <w:b/>
                <w:bCs/>
              </w:rPr>
              <w:t xml:space="preserve">operates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Console areas:</w:t>
      </w:r>
      <w:r>
        <w:t xml:space="preserve"> </w:t>
      </w:r>
      <w:r>
        <w:t xml:space="preserve">Investigate (inventory, flows, vulns) · Defend/Segmentation (policy) · Manage (agents) · Platform (connectors) · Administration (audit log)</w:t>
      </w:r>
    </w:p>
    <w:p>
      <w:pPr>
        <w:pStyle w:val="BodyText"/>
      </w:pPr>
      <w:r>
        <w:rPr>
          <w:b/>
          <w:bCs/>
        </w:rPr>
        <w:t xml:space="preserve">Read next:</w:t>
      </w:r>
      <w:r>
        <w:t xml:space="preserve"> </w:t>
      </w:r>
      <w:hyperlink r:id="rId11">
        <w:r>
          <w:rPr>
            <w:rStyle w:val="Hyperlink"/>
          </w:rPr>
          <w:t xml:space="preserve">Compliance evidence playbook</w:t>
        </w:r>
      </w:hyperlink>
      <w:r>
        <w:t xml:space="preserve"> </w:t>
      </w:r>
      <w:r>
        <w:t xml:space="preserve">(full step-by-step) ·</w:t>
      </w:r>
      <w:r>
        <w:t xml:space="preserve"> </w:t>
      </w:r>
      <w:hyperlink r:id="rId12">
        <w:r>
          <w:rPr>
            <w:rStyle w:val="Hyperlink"/>
          </w:rPr>
          <w:t xml:space="preserve">About CSW</w:t>
        </w:r>
      </w:hyperlink>
      <w:r>
        <w:t xml:space="preserve"> </w:t>
      </w:r>
      <w:r>
        <w:t xml:space="preserve">(platform intro)</w:t>
      </w:r>
    </w:p>
    <w:p>
      <w:r>
        <w:pict>
          <v:rect style="width:0;height:1.5pt" o:hralign="center" o:hrstd="t" o:hr="t"/>
        </w:pict>
      </w:r>
    </w:p>
    <w:bookmarkEnd w:id="13"/>
    <w:bookmarkStart w:id="19" w:name="universal-evidence-workflow"/>
    <w:p>
      <w:pPr>
        <w:pStyle w:val="Heading2"/>
      </w:pPr>
      <w:r>
        <w:t xml:space="preserve">Universal evidence workflow</w:t>
      </w:r>
    </w:p>
    <w:p>
      <w:pPr>
        <w:pStyle w:val="FirstParagraph"/>
      </w:pPr>
      <w:r>
        <w:t xml:space="preserve">Execute these phases for</w:t>
      </w:r>
      <w:r>
        <w:t xml:space="preserve"> </w:t>
      </w:r>
      <w:r>
        <w:rPr>
          <w:b/>
          <w:bCs/>
        </w:rPr>
        <w:t xml:space="preserve">this framework's</w:t>
      </w:r>
      <w:r>
        <w:t xml:space="preserve"> </w:t>
      </w:r>
      <w:r>
        <w:t xml:space="preserve">compliance boundary. Map exports to control IDs in the</w:t>
      </w:r>
      <w:r>
        <w:t xml:space="preserve"> </w:t>
      </w:r>
      <w:r>
        <w:rPr>
          <w:b/>
          <w:bCs/>
        </w:rPr>
        <w:t xml:space="preserve">Reporting &amp; Evidence</w:t>
      </w:r>
      <w:r>
        <w:t xml:space="preserve"> </w:t>
      </w:r>
      <w:r>
        <w:t xml:space="preserve">section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Key CSW actions</w:t>
            </w:r>
          </w:p>
        </w:tc>
        <w:tc>
          <w:tcPr/>
          <w:p>
            <w:pPr>
              <w:pStyle w:val="Compact"/>
            </w:pPr>
            <w:r>
              <w:t xml:space="preserve">Typical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Coverage</w:t>
            </w:r>
          </w:p>
        </w:tc>
        <w:tc>
          <w:tcPr/>
          <w:p>
            <w:pPr>
              <w:pStyle w:val="Compact"/>
            </w:pPr>
            <w:r>
              <w:t xml:space="preserve">Every in-scope workload in CSW</w:t>
            </w:r>
          </w:p>
        </w:tc>
        <w:tc>
          <w:tcPr/>
          <w:p>
            <w:pPr>
              <w:pStyle w:val="Compact"/>
            </w:pPr>
            <w:r>
              <w:t xml:space="preserve">Install agents/connectors; apply compliance labels; create scope</w:t>
            </w:r>
          </w:p>
        </w:tc>
        <w:tc>
          <w:tcPr/>
          <w:p>
            <w:pPr>
              <w:pStyle w:val="Compact"/>
            </w:pPr>
            <w:r>
              <w:t xml:space="preserve">Days 1–10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— Baseline</w:t>
            </w:r>
          </w:p>
        </w:tc>
        <w:tc>
          <w:tcPr/>
          <w:p>
            <w:pPr>
              <w:pStyle w:val="Compact"/>
            </w:pPr>
            <w:r>
              <w:t xml:space="preserve">Machine-generated flow map</w:t>
            </w:r>
          </w:p>
        </w:tc>
        <w:tc>
          <w:tcPr/>
          <w:p>
            <w:pPr>
              <w:pStyle w:val="Compact"/>
            </w:pPr>
            <w:r>
              <w:t xml:space="preserve">Run ADM ≥2 weeks; export clusters; app-owner signoff</w:t>
            </w:r>
          </w:p>
        </w:tc>
        <w:tc>
          <w:tcPr/>
          <w:p>
            <w:pPr>
              <w:pStyle w:val="Compact"/>
            </w:pPr>
            <w:r>
              <w:t xml:space="preserve">Days 11–28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— Policy</w:t>
            </w:r>
          </w:p>
        </w:tc>
        <w:tc>
          <w:tcPr/>
          <w:p>
            <w:pPr>
              <w:pStyle w:val="Compact"/>
            </w:pPr>
            <w:r>
              <w:t xml:space="preserve">Designed isolation before enforce</w:t>
            </w:r>
          </w:p>
        </w:tc>
        <w:tc>
          <w:tcPr/>
          <w:p>
            <w:pPr>
              <w:pStyle w:val="Compact"/>
            </w:pPr>
            <w:r>
              <w:t xml:space="preserve">Build workspace; Simulation mode; fix false positives</w:t>
            </w:r>
          </w:p>
        </w:tc>
        <w:tc>
          <w:tcPr/>
          <w:p>
            <w:pPr>
              <w:pStyle w:val="Compact"/>
            </w:pPr>
            <w:r>
              <w:t xml:space="preserve">Days 29–45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— Operate</w:t>
            </w:r>
          </w:p>
        </w:tc>
        <w:tc>
          <w:tcPr/>
          <w:p>
            <w:pPr>
              <w:pStyle w:val="Compact"/>
            </w:pPr>
            <w:r>
              <w:t xml:space="preserve">Continuous proof between audits</w:t>
            </w:r>
          </w:p>
        </w:tc>
        <w:tc>
          <w:tcPr/>
          <w:p>
            <w:pPr>
              <w:pStyle w:val="Compact"/>
            </w:pPr>
            <w:r>
              <w:t xml:space="preserve">Enforce; quarterly export pack; ADM refresh every 90 days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</w:tr>
    </w:tbl>
    <w:bookmarkStart w:id="14" w:name="phase-1-checklist-coverage"/>
    <w:p>
      <w:pPr>
        <w:pStyle w:val="Heading3"/>
      </w:pPr>
      <w:r>
        <w:t xml:space="preserve">Phase 1 checklist (coverage)</w:t>
      </w:r>
    </w:p>
    <w:p>
      <w:pPr>
        <w:pStyle w:val="Compact"/>
        <w:numPr>
          <w:ilvl w:val="0"/>
          <w:numId w:val="1002"/>
        </w:numPr>
      </w:pPr>
      <w:r>
        <w:t xml:space="preserve">In-scope host list reconciled to CSW Inventory (100% or documented exceptions)</w:t>
      </w:r>
    </w:p>
    <w:p>
      <w:pPr>
        <w:pStyle w:val="Compact"/>
        <w:numPr>
          <w:ilvl w:val="0"/>
          <w:numId w:val="1003"/>
        </w:numPr>
      </w:pPr>
      <w:r>
        <w:t xml:space="preserve">Labels applied:</w:t>
      </w:r>
      <w:r>
        <w:t xml:space="preserve"> </w:t>
      </w:r>
      <w:r>
        <w:rPr>
          <w:rStyle w:val="VerbatimChar"/>
        </w:rPr>
        <w:t xml:space="preserve">compliance:&lt;framework&gt;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data:&lt;classification&gt;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env:&lt;tier&gt;</w:t>
      </w:r>
    </w:p>
    <w:p>
      <w:pPr>
        <w:pStyle w:val="Compact"/>
        <w:numPr>
          <w:ilvl w:val="0"/>
          <w:numId w:val="1004"/>
        </w:numPr>
      </w:pPr>
      <w:r>
        <w:t xml:space="preserve">CSW scope created matching compliance boundary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inventory CSV + agent status screenshot</w:t>
      </w:r>
    </w:p>
    <w:bookmarkEnd w:id="14"/>
    <w:bookmarkStart w:id="15" w:name="phase-2-checklist-baseline"/>
    <w:p>
      <w:pPr>
        <w:pStyle w:val="Heading3"/>
      </w:pPr>
      <w:r>
        <w:t xml:space="preserve">Phase 2 checklist (baseline)</w:t>
      </w:r>
    </w:p>
    <w:p>
      <w:pPr>
        <w:pStyle w:val="Compact"/>
        <w:numPr>
          <w:ilvl w:val="0"/>
          <w:numId w:val="1006"/>
        </w:numPr>
      </w:pPr>
      <w:r>
        <w:t xml:space="preserve">ADM running on compliance scope for full business cycle (≥2 weeks)</w:t>
      </w:r>
    </w:p>
    <w:p>
      <w:pPr>
        <w:pStyle w:val="Compact"/>
        <w:numPr>
          <w:ilvl w:val="0"/>
          <w:numId w:val="1007"/>
        </w:numPr>
      </w:pPr>
      <w:r>
        <w:t xml:space="preserve">Unexpected flows documented (shadow IT, vendor egress, scope creep)</w:t>
      </w:r>
    </w:p>
    <w:p>
      <w:pPr>
        <w:pStyle w:val="Compact"/>
        <w:numPr>
          <w:ilvl w:val="0"/>
          <w:numId w:val="1008"/>
        </w:numPr>
      </w:pPr>
      <w:r>
        <w:t xml:space="preserve">App owners signed cluster-to-application mapping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ADM diagram + flow samples with process context</w:t>
      </w:r>
    </w:p>
    <w:bookmarkEnd w:id="15"/>
    <w:bookmarkStart w:id="16" w:name="phase-3-checklist-policy"/>
    <w:p>
      <w:pPr>
        <w:pStyle w:val="Heading3"/>
      </w:pPr>
      <w:r>
        <w:t xml:space="preserve">Phase 3 checklist (policy)</w:t>
      </w:r>
    </w:p>
    <w:p>
      <w:pPr>
        <w:pStyle w:val="Compact"/>
        <w:numPr>
          <w:ilvl w:val="0"/>
          <w:numId w:val="1010"/>
        </w:numPr>
      </w:pPr>
      <w:r>
        <w:t xml:space="preserve">Default-deny posture defined for sensitive scope</w:t>
      </w:r>
    </w:p>
    <w:p>
      <w:pPr>
        <w:pStyle w:val="Compact"/>
        <w:numPr>
          <w:ilvl w:val="0"/>
          <w:numId w:val="1011"/>
        </w:numPr>
      </w:pPr>
      <w:r>
        <w:t xml:space="preserve">ADM-imported rules refined; Simulation run ≥1 week</w:t>
      </w:r>
    </w:p>
    <w:p>
      <w:pPr>
        <w:pStyle w:val="Compact"/>
        <w:numPr>
          <w:ilvl w:val="0"/>
          <w:numId w:val="1012"/>
        </w:numPr>
      </w:pPr>
      <w:r>
        <w:t xml:space="preserve">Change tickets for false-positive fixes; exception register updated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policy export + simulation report</w:t>
      </w:r>
    </w:p>
    <w:bookmarkEnd w:id="16"/>
    <w:bookmarkStart w:id="17" w:name="phase-4-checklist-operate"/>
    <w:p>
      <w:pPr>
        <w:pStyle w:val="Heading3"/>
      </w:pPr>
      <w:r>
        <w:t xml:space="preserve">Phase 4 checklist (operate)</w:t>
      </w:r>
    </w:p>
    <w:p>
      <w:pPr>
        <w:pStyle w:val="Compact"/>
        <w:numPr>
          <w:ilvl w:val="0"/>
          <w:numId w:val="1014"/>
        </w:numPr>
      </w:pPr>
      <w:r>
        <w:t xml:space="preserve">Enforcement enabled on pilot scope; negative test recorded in Denied Connections</w:t>
      </w:r>
    </w:p>
    <w:p>
      <w:pPr>
        <w:pStyle w:val="Compact"/>
        <w:numPr>
          <w:ilvl w:val="0"/>
          <w:numId w:val="1015"/>
        </w:numPr>
      </w:pPr>
      <w:r>
        <w:t xml:space="preserve">Quarterly pack: inventory, policy, denies, vulns, audit log (see playbook)</w:t>
      </w:r>
    </w:p>
    <w:p>
      <w:pPr>
        <w:pStyle w:val="Compact"/>
        <w:numPr>
          <w:ilvl w:val="0"/>
          <w:numId w:val="1016"/>
        </w:numPr>
      </w:pPr>
      <w:r>
        <w:t xml:space="preserve">SIEM integration verified (sample events)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enforcement screenshot + quarterly binder</w:t>
      </w:r>
    </w:p>
    <w:bookmarkEnd w:id="17"/>
    <w:bookmarkStart w:id="18" w:name="what-csw-evidence-does-not-replace"/>
    <w:p>
      <w:pPr>
        <w:pStyle w:val="Heading3"/>
      </w:pPr>
      <w:r>
        <w:t xml:space="preserve">What CSW evidence does not replace</w:t>
      </w:r>
    </w:p>
    <w:p>
      <w:pPr>
        <w:pStyle w:val="FirstParagraph"/>
      </w:pPr>
      <w:r>
        <w:t xml:space="preserve">Physical access, HR/training records, encryption key management, signed BAAs/vendor contracts, formal pen tests, and assessor attestation still require separate programmes. CSW addresses the</w:t>
      </w:r>
      <w:r>
        <w:t xml:space="preserve"> </w:t>
      </w:r>
      <w:r>
        <w:rPr>
          <w:b/>
          <w:bCs/>
        </w:rPr>
        <w:t xml:space="preserve">workload-resident</w:t>
      </w:r>
      <w:r>
        <w:t xml:space="preserve"> </w:t>
      </w:r>
      <w:r>
        <w:t xml:space="preserve">slice: segmentation, flows, process context, vuln reachability, and change drift.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sw-effectiveness-for-this-framework"/>
    <w:p>
      <w:pPr>
        <w:pStyle w:val="Heading2"/>
      </w:pPr>
      <w:r>
        <w:t xml:space="preserve">CSW effectiveness for this framework</w:t>
      </w:r>
    </w:p>
    <w:p>
      <w:pPr>
        <w:pStyle w:val="Compact"/>
        <w:numPr>
          <w:ilvl w:val="0"/>
          <w:numId w:val="1018"/>
        </w:numPr>
      </w:pPr>
      <w:r>
        <w:t xml:space="preserve">Govern (GV.OV/GV.SC) + ID.AM, PR.IR, DE.CM, RS.AN subcategories</w:t>
      </w:r>
    </w:p>
    <w:p>
      <w:pPr>
        <w:pStyle w:val="Compact"/>
        <w:numPr>
          <w:ilvl w:val="0"/>
          <w:numId w:val="1018"/>
        </w:numPr>
      </w:pPr>
      <w:r>
        <w:t xml:space="preserve">Outcomes wrapper aligned to 800-53 evidence underneath</w:t>
      </w:r>
    </w:p>
    <w:p>
      <w:pPr>
        <w:pStyle w:val="Compact"/>
        <w:numPr>
          <w:ilvl w:val="0"/>
          <w:numId w:val="1018"/>
        </w:numPr>
      </w:pPr>
      <w:r>
        <w:t xml:space="preserve">Continuous vs. periodic evidence for CSF maturity conversations</w:t>
      </w:r>
    </w:p>
    <w:p>
      <w:pPr>
        <w:pStyle w:val="FirstParagraph"/>
      </w:pPr>
      <w:r>
        <w:rPr>
          <w:b/>
          <w:bCs/>
        </w:rPr>
        <w:t xml:space="preserve">Compared to manual programmes:</w:t>
      </w:r>
      <w:r>
        <w:t xml:space="preserve"> </w:t>
      </w:r>
      <w:r>
        <w:t xml:space="preserve">static diagrams and annual firewall samples age immediately; CSW ties evidence to</w:t>
      </w:r>
      <w:r>
        <w:t xml:space="preserve"> </w:t>
      </w:r>
      <w:r>
        <w:rPr>
          <w:b/>
          <w:bCs/>
        </w:rPr>
        <w:t xml:space="preserve">live workload behaviour</w:t>
      </w:r>
      <w:r>
        <w:t xml:space="preserve"> </w:t>
      </w:r>
      <w:r>
        <w:t xml:space="preserve">and produces queryable exports on demand — supporting "operating effectively" language in PCI v4.0, SOC 2 CC7, and HIPAA risk analysis.</w:t>
      </w:r>
    </w:p>
    <w:p>
      <w:r>
        <w:pict>
          <v:rect style="width:0;height:1.5pt" o:hralign="center" o:hrstd="t" o:hr="t"/>
        </w:pict>
      </w:r>
    </w:p>
    <w:bookmarkEnd w:id="20"/>
    <w:bookmarkStart w:id="21" w:name="Xc8951b796c7b61cbdd4998c72efbdeed0056e13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CSF 2.0 organises cybersecurity outcomes across six Functions, 22</w:t>
      </w:r>
      <w:r>
        <w:t xml:space="preserve"> </w:t>
      </w:r>
      <w:r>
        <w:t xml:space="preserve">Categories, and 106 Subcategories: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CSW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</w:t>
            </w:r>
          </w:p>
        </w:tc>
        <w:tc>
          <w:tcPr/>
          <w:p>
            <w:pPr>
              <w:pStyle w:val="Compact"/>
            </w:pPr>
            <w:r>
              <w:t xml:space="preserve">GV</w:t>
            </w:r>
          </w:p>
        </w:tc>
        <w:tc>
          <w:tcPr/>
          <w:p>
            <w:pPr>
              <w:pStyle w:val="Compact"/>
            </w:pPr>
            <w:r>
              <w:t xml:space="preserve">Establish, communicate, monitor cybersecurity strategy</w:t>
            </w:r>
          </w:p>
        </w:tc>
        <w:tc>
          <w:tcPr/>
          <w:p>
            <w:pPr>
              <w:pStyle w:val="Compact"/>
            </w:pPr>
            <w:r>
              <w:t xml:space="preserve">Supporting (evidence to management body)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Identify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Asset, risk, supply chain understanding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(asset management, risk assessment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Protect</w:t>
            </w:r>
          </w:p>
        </w:tc>
        <w:tc>
          <w:tcPr/>
          <w:p>
            <w:pPr>
              <w:pStyle w:val="Compact"/>
            </w:pPr>
            <w:r>
              <w:t xml:space="preserve">PR</w:t>
            </w:r>
          </w:p>
        </w:tc>
        <w:tc>
          <w:tcPr/>
          <w:p>
            <w:pPr>
              <w:pStyle w:val="Compact"/>
            </w:pPr>
            <w:r>
              <w:t xml:space="preserve">Safeguards limiting/containing 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(infrastructure resilience, platform security)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</w:t>
            </w:r>
          </w:p>
        </w:tc>
        <w:tc>
          <w:tcPr/>
          <w:p>
            <w:pPr>
              <w:pStyle w:val="Compact"/>
            </w:pPr>
            <w:r>
              <w:t xml:space="preserve">DE</w:t>
            </w:r>
          </w:p>
        </w:tc>
        <w:tc>
          <w:tcPr/>
          <w:p>
            <w:pPr>
              <w:pStyle w:val="Compact"/>
            </w:pPr>
            <w:r>
              <w:t xml:space="preserve">Find and analyse adverse events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(continuous monitoring, adverse event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Respond</w:t>
            </w:r>
          </w:p>
        </w:tc>
        <w:tc>
          <w:tcPr/>
          <w:p>
            <w:pPr>
              <w:pStyle w:val="Compact"/>
            </w:pPr>
            <w:r>
              <w:t xml:space="preserve">RS</w:t>
            </w:r>
          </w:p>
        </w:tc>
        <w:tc>
          <w:tcPr/>
          <w:p>
            <w:pPr>
              <w:pStyle w:val="Compact"/>
            </w:pPr>
            <w:r>
              <w:t xml:space="preserve">Take action to contain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</w:t>
            </w:r>
            <w:r>
              <w:t xml:space="preserve"> </w:t>
            </w:r>
            <w:r>
              <w:t xml:space="preserve">(incident analysis, mitigation 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</w:t>
            </w:r>
          </w:p>
        </w:tc>
        <w:tc>
          <w:tcPr/>
          <w:p>
            <w:pPr>
              <w:pStyle w:val="Compact"/>
            </w:pPr>
            <w:r>
              <w:t xml:space="preserve">RC</w:t>
            </w:r>
          </w:p>
        </w:tc>
        <w:tc>
          <w:tcPr/>
          <w:p>
            <w:pPr>
              <w:pStyle w:val="Compact"/>
            </w:pPr>
            <w:r>
              <w:t xml:space="preserve">Restore assets and operations</w:t>
            </w:r>
          </w:p>
        </w:tc>
        <w:tc>
          <w:tcPr/>
          <w:p>
            <w:pPr>
              <w:pStyle w:val="Compact"/>
            </w:pPr>
            <w:r>
              <w:t xml:space="preserve">Supporting (post-recovery diff evidence)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Where CSW fits — the short version.</w:t>
      </w:r>
      <w:r>
        <w:t xml:space="preserve"> </w:t>
      </w:r>
      <w:r>
        <w:t xml:space="preserve">CSW is the workload-tier</w:t>
      </w:r>
      <w:r>
        <w:t xml:space="preserve"> </w:t>
      </w:r>
      <w:r>
        <w:t xml:space="preserve">evidence engine for the technical Subcategories under Identify</w:t>
      </w:r>
      <w:r>
        <w:t xml:space="preserve"> </w:t>
      </w:r>
      <w:r>
        <w:t xml:space="preserve">(asset management, risk assessment of workloads), Protect</w:t>
      </w:r>
      <w:r>
        <w:t xml:space="preserve"> </w:t>
      </w:r>
      <w:r>
        <w:t xml:space="preserve">(platform security, infrastructure resilience), Detect (continuous</w:t>
      </w:r>
      <w:r>
        <w:t xml:space="preserve"> </w:t>
      </w:r>
      <w:r>
        <w:t xml:space="preserve">monitoring, adverse event analysis), and Respond (analysis,</w:t>
      </w:r>
      <w:r>
        <w:t xml:space="preserve"> </w:t>
      </w:r>
      <w:r>
        <w:t xml:space="preserve">mitigation). Govern and Recover are organisational/process</w:t>
      </w:r>
      <w:r>
        <w:t xml:space="preserve"> </w:t>
      </w:r>
      <w:r>
        <w:t xml:space="preserve">Functions where CSW supplies inputs (evidence packs, post-incident</w:t>
      </w:r>
      <w:r>
        <w:t xml:space="preserve"> </w:t>
      </w:r>
      <w:r>
        <w:t xml:space="preserve">diffs) but is not the primary control.</w:t>
      </w:r>
    </w:p>
    <w:p>
      <w:pPr>
        <w:pStyle w:val="BodyText"/>
      </w:pPr>
      <w:r>
        <w:rPr>
          <w:b/>
          <w:bCs/>
        </w:rPr>
        <w:t xml:space="preserve">CSF 2.0 vocabulary recap.</w:t>
      </w:r>
      <w:r>
        <w:t xml:space="preserve"> </w:t>
      </w:r>
      <w:r>
        <w:t xml:space="preserve">Each Subcategory is identified as</w:t>
      </w:r>
      <w:r>
        <w:t xml:space="preserve"> </w:t>
      </w:r>
      <w:r>
        <w:rPr>
          <w:rStyle w:val="VerbatimChar"/>
        </w:rPr>
        <w:t xml:space="preserve">FUNCTION.CATEGORY-NN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PR.IR-02</w:t>
      </w:r>
      <w:r>
        <w:t xml:space="preserve">). Some Subcategories carry</w:t>
      </w:r>
      <w:r>
        <w:t xml:space="preserve"> </w:t>
      </w:r>
      <w:r>
        <w:t xml:space="preserve">implementation examples; the framework remains</w:t>
      </w:r>
      <w:r>
        <w:t xml:space="preserve"> </w:t>
      </w:r>
      <w:r>
        <w:rPr>
          <w:i/>
          <w:iCs/>
        </w:rPr>
        <w:t xml:space="preserve">outcomes-focused</w:t>
      </w:r>
      <w:r>
        <w:t xml:space="preserve"> </w:t>
      </w:r>
      <w:r>
        <w:t xml:space="preserve">and explicitly defers to your Profile to scope what's in/out and</w:t>
      </w:r>
      <w:r>
        <w:t xml:space="preserve"> </w:t>
      </w:r>
      <w:r>
        <w:t xml:space="preserve">what depth is expected.</w:t>
      </w:r>
    </w:p>
    <w:p>
      <w:r>
        <w:pict>
          <v:rect style="width:0;height:1.5pt" o:hralign="center" o:hrstd="t" o:hr="t"/>
        </w:pict>
      </w:r>
    </w:p>
    <w:bookmarkEnd w:id="21"/>
    <w:bookmarkStart w:id="22" w:name="X7c2d4d9865b41f2e1442c8444efb1c9889da993"/>
    <w:p>
      <w:pPr>
        <w:pStyle w:val="Heading2"/>
      </w:pPr>
      <w:r>
        <w:t xml:space="preserve">2. Profile and Tier Calibration</w:t>
      </w:r>
    </w:p>
    <w:p>
      <w:pPr>
        <w:pStyle w:val="FirstParagraph"/>
      </w:pPr>
      <w:r>
        <w:t xml:space="preserve">CSF 2.0 expects organisations to develop a Current Profile, a</w:t>
      </w:r>
      <w:r>
        <w:t xml:space="preserve"> </w:t>
      </w:r>
      <w:r>
        <w:t xml:space="preserve">Target Profile, and to track progress between them. CSW labelling</w:t>
      </w:r>
      <w:r>
        <w:t xml:space="preserve"> </w:t>
      </w:r>
      <w:r>
        <w:t xml:space="preserve">should reflect the Profile so evidence aggregates per Subcategory.</w:t>
      </w:r>
    </w:p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Apply CSF context labels to every CSW-managed workload</w:t>
      </w:r>
      <w:r>
        <w:br/>
      </w:r>
      <w:r>
        <w:rPr>
          <w:rStyle w:val="VerbatimChar"/>
        </w:rPr>
        <w:t xml:space="preserve">  CSW UI → Inventory → Bulk Label</w:t>
      </w:r>
      <w:r>
        <w:br/>
      </w:r>
      <w:r>
        <w:rPr>
          <w:rStyle w:val="VerbatimChar"/>
        </w:rPr>
        <w:t xml:space="preserve">  Mandatory labels:</w:t>
      </w:r>
      <w:r>
        <w:br/>
      </w:r>
      <w:r>
        <w:rPr>
          <w:rStyle w:val="VerbatimChar"/>
        </w:rPr>
        <w:t xml:space="preserve">    csf_tier:          partial | risk-informed | repeatable | adaptive</w:t>
      </w:r>
      <w:r>
        <w:br/>
      </w:r>
      <w:r>
        <w:rPr>
          <w:rStyle w:val="VerbatimChar"/>
        </w:rPr>
        <w:t xml:space="preserve">    business_function: [function the workload supports]</w:t>
      </w:r>
      <w:r>
        <w:br/>
      </w:r>
      <w:r>
        <w:rPr>
          <w:rStyle w:val="VerbatimChar"/>
        </w:rPr>
        <w:t xml:space="preserve">    data_class:        public | internal | confidential | regulated</w:t>
      </w:r>
      <w:r>
        <w:br/>
      </w:r>
      <w:r>
        <w:rPr>
          <w:rStyle w:val="VerbatimChar"/>
        </w:rPr>
        <w:t xml:space="preserve">    crit_band:         crown-jewel | high | medium | low</w:t>
      </w:r>
      <w:r>
        <w:br/>
      </w:r>
      <w:r>
        <w:rPr>
          <w:rStyle w:val="VerbatimChar"/>
        </w:rPr>
        <w:t xml:space="preserve">    profile_scope:     in-target | not-in-target</w:t>
      </w:r>
      <w:r>
        <w:br/>
      </w:r>
      <w:r>
        <w:br/>
      </w:r>
      <w:r>
        <w:rPr>
          <w:rStyle w:val="VerbatimChar"/>
        </w:rPr>
        <w:t xml:space="preserve">Step 2: Build CSW Scopes per (csf_tier, crit_band)</w:t>
      </w:r>
      <w:r>
        <w:br/>
      </w:r>
      <w:r>
        <w:rPr>
          <w:rStyle w:val="VerbatimChar"/>
        </w:rPr>
        <w:t xml:space="preserve">  CSW UI → Organize → Scopes → New</w:t>
      </w:r>
      <w:r>
        <w:br/>
      </w:r>
      <w:r>
        <w:rPr>
          <w:rStyle w:val="VerbatimChar"/>
        </w:rPr>
        <w:t xml:space="preserve">  → Scopes become the unit of evidence aggregation per Subcategory</w:t>
      </w:r>
      <w:r>
        <w:br/>
      </w:r>
      <w:r>
        <w:br/>
      </w:r>
      <w:r>
        <w:rPr>
          <w:rStyle w:val="VerbatimChar"/>
        </w:rPr>
        <w:t xml:space="preserve">Step 3: Schedule Subcategory-aligned evidence pulls</w:t>
      </w:r>
      <w:r>
        <w:br/>
      </w:r>
      <w:r>
        <w:rPr>
          <w:rStyle w:val="VerbatimChar"/>
        </w:rPr>
        <w:t xml:space="preserve">  → Inventory snapshot per ID.AM cadence</w:t>
      </w:r>
      <w:r>
        <w:br/>
      </w:r>
      <w:r>
        <w:rPr>
          <w:rStyle w:val="VerbatimChar"/>
        </w:rPr>
        <w:t xml:space="preserve">  → Vulnerability list per ID.RA cadence</w:t>
      </w:r>
      <w:r>
        <w:br/>
      </w:r>
      <w:r>
        <w:rPr>
          <w:rStyle w:val="VerbatimChar"/>
        </w:rPr>
        <w:t xml:space="preserve">  → Drift report per PR.PS cadence</w:t>
      </w:r>
      <w:r>
        <w:br/>
      </w:r>
      <w:r>
        <w:rPr>
          <w:rStyle w:val="VerbatimChar"/>
        </w:rPr>
        <w:t xml:space="preserve">  → Detection summary per DE.CM cadence</w:t>
      </w:r>
      <w:r>
        <w:br/>
      </w:r>
      <w:r>
        <w:rPr>
          <w:rStyle w:val="VerbatimChar"/>
        </w:rPr>
        <w:t xml:space="preserve">  → Incident dossier per RS.AN format</w:t>
      </w:r>
    </w:p>
    <w:p>
      <w:r>
        <w:pict>
          <v:rect style="width:0;height:1.5pt" o:hralign="center" o:hrstd="t" o:hr="t"/>
        </w:pict>
      </w:r>
    </w:p>
    <w:bookmarkEnd w:id="22"/>
    <w:bookmarkStart w:id="26" w:name="X7a26901f8ec6985131e0146d6897a82f9245beb"/>
    <w:p>
      <w:pPr>
        <w:pStyle w:val="Heading2"/>
      </w:pPr>
      <w:r>
        <w:t xml:space="preserve">3. Scope Architecture and Labeling</w:t>
      </w:r>
    </w:p>
    <w:p>
      <w:pPr>
        <w:pStyle w:val="FirstParagraph"/>
      </w:pPr>
      <w:r>
        <w:t xml:space="preserve">Section 2 sets the Profile labels. This section turns them into the scope</w:t>
      </w:r>
      <w:r>
        <w:t xml:space="preserve"> </w:t>
      </w:r>
      <w:r>
        <w:t xml:space="preserve">tree that the Identify and Protect functions are assessed against. The</w:t>
      </w:r>
      <w:r>
        <w:t xml:space="preserve"> </w:t>
      </w:r>
      <w:r>
        <w:t xml:space="preserve">tree is the direct evidence artifact for</w:t>
      </w:r>
      <w:r>
        <w:t xml:space="preserve"> </w:t>
      </w:r>
      <w:r>
        <w:rPr>
          <w:b/>
          <w:bCs/>
        </w:rPr>
        <w:t xml:space="preserve">ID.AM-03</w:t>
      </w:r>
      <w:r>
        <w:t xml:space="preserve"> </w:t>
      </w:r>
      <w:r>
        <w:t xml:space="preserve">— representations of</w:t>
      </w:r>
      <w:r>
        <w:t xml:space="preserve"> </w:t>
      </w:r>
      <w:r>
        <w:t xml:space="preserve">authorized network communication and internal and external data flows —</w:t>
      </w:r>
      <w:r>
        <w:t xml:space="preserve"> </w:t>
      </w:r>
      <w:r>
        <w:t xml:space="preserve">which is the Subcategory most organisations satisfy with a stale Visio</w:t>
      </w:r>
      <w:r>
        <w:t xml:space="preserve"> </w:t>
      </w:r>
      <w:r>
        <w:t xml:space="preserve">diagram.</w:t>
      </w:r>
    </w:p>
    <w:bookmarkStart w:id="23" w:name="Xb2afcc5ec79c92c44c122e5348dde8c691af348"/>
    <w:p>
      <w:pPr>
        <w:pStyle w:val="Heading3"/>
      </w:pPr>
      <w:r>
        <w:t xml:space="preserve">3.1 Suggested Scope Architecture</w:t>
      </w:r>
    </w:p>
    <w:p>
      <w:pPr>
        <w:pStyle w:val="SourceCode"/>
      </w:pPr>
      <w:r>
        <w:rPr>
          <w:rStyle w:val="VerbatimChar"/>
        </w:rPr>
        <w:t xml:space="preserve">Root Scope</w:t>
      </w:r>
      <w:r>
        <w:br/>
      </w:r>
      <w:r>
        <w:rPr>
          <w:rStyle w:val="VerbatimChar"/>
        </w:rPr>
        <w:t xml:space="preserve">└── Enterprise</w:t>
      </w:r>
      <w:r>
        <w:br/>
      </w:r>
      <w:r>
        <w:rPr>
          <w:rStyle w:val="VerbatimChar"/>
        </w:rPr>
        <w:t xml:space="preserve">    ├── Crown-Jewel-Systems               (crit_band = crown-jewel)</w:t>
      </w:r>
      <w:r>
        <w:br/>
      </w:r>
      <w:r>
        <w:rPr>
          <w:rStyle w:val="VerbatimChar"/>
        </w:rPr>
        <w:t xml:space="preserve">    │   ├── Business-Critical-Applications</w:t>
      </w:r>
      <w:r>
        <w:br/>
      </w:r>
      <w:r>
        <w:rPr>
          <w:rStyle w:val="VerbatimChar"/>
        </w:rPr>
        <w:t xml:space="preserve">    │   └── Critical-Data-Stores</w:t>
      </w:r>
      <w:r>
        <w:br/>
      </w:r>
      <w:r>
        <w:rPr>
          <w:rStyle w:val="VerbatimChar"/>
        </w:rPr>
        <w:t xml:space="preserve">    ├── Business-Applications</w:t>
      </w:r>
      <w:r>
        <w:br/>
      </w:r>
      <w:r>
        <w:rPr>
          <w:rStyle w:val="VerbatimChar"/>
        </w:rPr>
        <w:t xml:space="preserve">    │   ├── External-Facing</w:t>
      </w:r>
      <w:r>
        <w:br/>
      </w:r>
      <w:r>
        <w:rPr>
          <w:rStyle w:val="VerbatimChar"/>
        </w:rPr>
        <w:t xml:space="preserve">    │   └── Internal-Facing</w:t>
      </w:r>
      <w:r>
        <w:br/>
      </w:r>
      <w:r>
        <w:rPr>
          <w:rStyle w:val="VerbatimChar"/>
        </w:rPr>
        <w:t xml:space="preserve">    ├── Shared-Infrastructure</w:t>
      </w:r>
      <w:r>
        <w:br/>
      </w:r>
      <w:r>
        <w:rPr>
          <w:rStyle w:val="VerbatimChar"/>
        </w:rPr>
        <w:t xml:space="preserve">    │   ├── Identity-Services</w:t>
      </w:r>
      <w:r>
        <w:br/>
      </w:r>
      <w:r>
        <w:rPr>
          <w:rStyle w:val="VerbatimChar"/>
        </w:rPr>
        <w:t xml:space="preserve">    │   └── Logging-and-Monitoring</w:t>
      </w:r>
      <w:r>
        <w:br/>
      </w:r>
      <w:r>
        <w:rPr>
          <w:rStyle w:val="VerbatimChar"/>
        </w:rPr>
        <w:t xml:space="preserve">    ├── Privileged-Access-Paths</w:t>
      </w:r>
      <w:r>
        <w:br/>
      </w:r>
      <w:r>
        <w:rPr>
          <w:rStyle w:val="VerbatimChar"/>
        </w:rPr>
        <w:t xml:space="preserve">    └── Third-Party-Connectivity</w:t>
      </w:r>
    </w:p>
    <w:p>
      <w:pPr>
        <w:pStyle w:val="FirstParagraph"/>
      </w:pPr>
      <w:r>
        <w:t xml:space="preserve">Mirror</w:t>
      </w:r>
      <w:r>
        <w:t xml:space="preserve"> </w:t>
      </w:r>
      <w:r>
        <w:rPr>
          <w:rStyle w:val="VerbatimChar"/>
        </w:rPr>
        <w:t xml:space="preserve">crit_band</w:t>
      </w:r>
      <w:r>
        <w:t xml:space="preserve"> </w:t>
      </w:r>
      <w:r>
        <w:t xml:space="preserve">onto the top-level branches rather than inventing a</w:t>
      </w:r>
      <w:r>
        <w:t xml:space="preserve"> </w:t>
      </w:r>
      <w:r>
        <w:t xml:space="preserve">second criticality vocabulary. The Profile in section 2 is what the</w:t>
      </w:r>
      <w:r>
        <w:t xml:space="preserve"> </w:t>
      </w:r>
      <w:r>
        <w:t xml:space="preserve">Govern function reports against, so a scope tree that disagrees with it</w:t>
      </w:r>
      <w:r>
        <w:t xml:space="preserve"> </w:t>
      </w:r>
      <w:r>
        <w:t xml:space="preserve">produces two different answers to the same risk question.</w:t>
      </w:r>
    </w:p>
    <w:bookmarkEnd w:id="23"/>
    <w:bookmarkStart w:id="24" w:name="X49d050854993157a494233807e24da6beca7d50"/>
    <w:p>
      <w:pPr>
        <w:pStyle w:val="Heading3"/>
      </w:pPr>
      <w:r>
        <w:t xml:space="preserve">3.2 Inventory Filters</w:t>
      </w:r>
    </w:p>
    <w:p>
      <w:pPr>
        <w:pStyle w:val="SourceCode"/>
      </w:pPr>
      <w:r>
        <w:rPr>
          <w:rStyle w:val="VerbatimChar"/>
        </w:rPr>
        <w:t xml:space="preserve">Filter: Crown-Jewel-Systems</w:t>
      </w:r>
      <w:r>
        <w:br/>
      </w:r>
      <w:r>
        <w:rPr>
          <w:rStyle w:val="VerbatimChar"/>
        </w:rPr>
        <w:t xml:space="preserve">  - Tag: crit_band = crown-jewel</w:t>
      </w:r>
      <w:r>
        <w:br/>
      </w:r>
      <w:r>
        <w:rPr>
          <w:rStyle w:val="VerbatimChar"/>
        </w:rPr>
        <w:t xml:space="preserve">  - Tag: business_function matches the Target Profile priority list</w:t>
      </w:r>
      <w:r>
        <w:br/>
      </w:r>
      <w:r>
        <w:br/>
      </w:r>
      <w:r>
        <w:rPr>
          <w:rStyle w:val="VerbatimChar"/>
        </w:rPr>
        <w:t xml:space="preserve">Filter: Critical-Data-Stores</w:t>
      </w:r>
      <w:r>
        <w:br/>
      </w:r>
      <w:r>
        <w:rPr>
          <w:rStyle w:val="VerbatimChar"/>
        </w:rPr>
        <w:t xml:space="preserve">  - Tag: data_class = regulated | confidential</w:t>
      </w:r>
      <w:r>
        <w:br/>
      </w:r>
      <w:r>
        <w:rPr>
          <w:rStyle w:val="VerbatimChar"/>
        </w:rPr>
        <w:t xml:space="preserve">  - Listening port: 1433, 1521, 3306, 5432, 27017</w:t>
      </w:r>
      <w:r>
        <w:br/>
      </w:r>
      <w:r>
        <w:br/>
      </w:r>
      <w:r>
        <w:rPr>
          <w:rStyle w:val="VerbatimChar"/>
        </w:rPr>
        <w:t xml:space="preserve">Filter: Third-Party-Connectivity</w:t>
      </w:r>
      <w:r>
        <w:br/>
      </w:r>
      <w:r>
        <w:rPr>
          <w:rStyle w:val="VerbatimChar"/>
        </w:rPr>
        <w:t xml:space="preserve">  - Destination outside on-prem and cloud allow-lists</w:t>
      </w:r>
      <w:r>
        <w:br/>
      </w:r>
      <w:r>
        <w:rPr>
          <w:rStyle w:val="VerbatimChar"/>
        </w:rPr>
        <w:t xml:space="preserve">  - Tag: managed_by = vendor | service-provider</w:t>
      </w:r>
      <w:r>
        <w:br/>
      </w:r>
      <w:r>
        <w:br/>
      </w:r>
      <w:r>
        <w:rPr>
          <w:rStyle w:val="VerbatimChar"/>
        </w:rPr>
        <w:t xml:space="preserve">Filter: Profile-Gap-Candidates</w:t>
      </w:r>
      <w:r>
        <w:br/>
      </w:r>
      <w:r>
        <w:rPr>
          <w:rStyle w:val="VerbatimChar"/>
        </w:rPr>
        <w:t xml:space="preserve">  - Tag: profile_scope = in-target</w:t>
      </w:r>
      <w:r>
        <w:br/>
      </w:r>
      <w:r>
        <w:rPr>
          <w:rStyle w:val="VerbatimChar"/>
        </w:rPr>
        <w:t xml:space="preserve">  - No enforcing policy workspace covering the workload</w:t>
      </w:r>
    </w:p>
    <w:p>
      <w:pPr>
        <w:pStyle w:val="FirstParagraph"/>
      </w:pPr>
      <w:r>
        <w:rPr>
          <w:rStyle w:val="VerbatimChar"/>
        </w:rPr>
        <w:t xml:space="preserve">Profile-Gap-Candidates</w:t>
      </w:r>
      <w:r>
        <w:t xml:space="preserve"> </w:t>
      </w:r>
      <w:r>
        <w:t xml:space="preserve">is the filter that makes CSF progress tracking</w:t>
      </w:r>
      <w:r>
        <w:t xml:space="preserve"> </w:t>
      </w:r>
      <w:r>
        <w:t xml:space="preserve">mechanical: it returns exactly the workloads the Target Profile claims</w:t>
      </w:r>
      <w:r>
        <w:t xml:space="preserve"> </w:t>
      </w:r>
      <w:r>
        <w:t xml:space="preserve">will be protected but which no enforced policy currently covers.</w:t>
      </w:r>
    </w:p>
    <w:bookmarkEnd w:id="24"/>
    <w:bookmarkStart w:id="25" w:name="X7f182565d226d136c9b8bbdffe85c48c1ab67f5"/>
    <w:p>
      <w:pPr>
        <w:pStyle w:val="Heading3"/>
      </w:pPr>
      <w:r>
        <w:t xml:space="preserve">3.3 Labeling Strategy</w:t>
      </w:r>
    </w:p>
    <w:p>
      <w:pPr>
        <w:pStyle w:val="FirstParagraph"/>
      </w:pPr>
      <w:r>
        <w:t xml:space="preserve">The five keys from section 2 carry the Profile; the rest below make the</w:t>
      </w:r>
      <w:r>
        <w:t xml:space="preserve"> </w:t>
      </w:r>
      <w:r>
        <w:t xml:space="preserve">Protect and Detect Subcategories queryable.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 key</w:t>
            </w:r>
          </w:p>
        </w:tc>
        <w:tc>
          <w:tcPr/>
          <w:p>
            <w:pPr>
              <w:pStyle w:val="Compact"/>
            </w:pPr>
            <w:r>
              <w:t xml:space="preserve">Example values</w:t>
            </w:r>
          </w:p>
        </w:tc>
        <w:tc>
          <w:tcPr/>
          <w:p>
            <w:pPr>
              <w:pStyle w:val="Compact"/>
            </w:pPr>
            <w:r>
              <w:t xml:space="preserve">Why it matters for CSF 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csf_tier</w:t>
            </w:r>
          </w:p>
        </w:tc>
        <w:tc>
          <w:tcPr/>
          <w:p>
            <w:pPr>
              <w:pStyle w:val="Compact"/>
            </w:pPr>
            <w:r>
              <w:t xml:space="preserve">partial, risk-informed, repeatable, adaptive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Governance tier the workload's evidence supports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business_function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Ties technical evidence to the Govern function's business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data_class</w:t>
            </w:r>
          </w:p>
        </w:tc>
        <w:tc>
          <w:tcPr/>
          <w:p>
            <w:pPr>
              <w:pStyle w:val="Compact"/>
            </w:pPr>
            <w:r>
              <w:t xml:space="preserve">public, internal, confidential, regulated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PR.DS scope membership and plaintext-flow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crit_band</w:t>
            </w:r>
          </w:p>
        </w:tc>
        <w:tc>
          <w:tcPr/>
          <w:p>
            <w:pPr>
              <w:pStyle w:val="Compact"/>
            </w:pPr>
            <w:r>
              <w:t xml:space="preserve">crown-jewel, high, medium, low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Drives scope placement and enforcement sequencing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profile_scope</w:t>
            </w:r>
          </w:p>
        </w:tc>
        <w:tc>
          <w:tcPr/>
          <w:p>
            <w:pPr>
              <w:pStyle w:val="Compact"/>
            </w:pPr>
            <w:r>
              <w:t xml:space="preserve">in-target, not-in-target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(section 2)</w:t>
            </w:r>
            <w:r>
              <w:t xml:space="preserve"> </w:t>
            </w:r>
            <w:r>
              <w:t xml:space="preserve">Separates Current Profile reality from Target Profile intent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dependency_tier</w:t>
            </w:r>
          </w:p>
        </w:tc>
        <w:tc>
          <w:tcPr/>
          <w:p>
            <w:pPr>
              <w:pStyle w:val="Compact"/>
            </w:pPr>
            <w:r>
              <w:t xml:space="preserve">edge, app, data, shared</w:t>
            </w:r>
          </w:p>
        </w:tc>
        <w:tc>
          <w:tcPr/>
          <w:p>
            <w:pPr>
              <w:pStyle w:val="Compact"/>
            </w:pPr>
            <w:r>
              <w:t xml:space="preserve">Makes the ID.AM-03 flow representation readable per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recovery_tier</w:t>
            </w:r>
          </w:p>
        </w:tc>
        <w:tc>
          <w:tcPr/>
          <w:p>
            <w:pPr>
              <w:pStyle w:val="Compact"/>
            </w:pPr>
            <w:r>
              <w:t xml:space="preserve">rto-critical, rto-standard</w:t>
            </w:r>
          </w:p>
        </w:tc>
        <w:tc>
          <w:tcPr/>
          <w:p>
            <w:pPr>
              <w:pStyle w:val="Compact"/>
            </w:pPr>
            <w:r>
              <w:t xml:space="preserve">RC.RP sequencing — which scopes come back first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nist-csf-2</w:t>
            </w:r>
          </w:p>
        </w:tc>
        <w:tc>
          <w:tcPr/>
          <w:p>
            <w:pPr>
              <w:pStyle w:val="Compact"/>
            </w:pPr>
            <w:r>
              <w:t xml:space="preserve">Filters CSW evidence to the CSF assessment boundary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X4cbc7a361d8f950f463bcdc21f13a3b06b746fb"/>
    <w:p>
      <w:pPr>
        <w:pStyle w:val="Heading2"/>
      </w:pPr>
      <w:r>
        <w:t xml:space="preserve">4. Policy Design — PR.IR and PR.AA Enforcement</w:t>
      </w:r>
    </w:p>
    <w:p>
      <w:pPr>
        <w:pStyle w:val="FirstParagraph"/>
      </w:pPr>
      <w:r>
        <w:t xml:space="preserve">CSF 2.0 is outcome-based rather than prescriptive, so the policy set is</w:t>
      </w:r>
      <w:r>
        <w:t xml:space="preserve"> </w:t>
      </w:r>
      <w:r>
        <w:t xml:space="preserve">not a checklist item — it is the mechanism by which several Protect</w:t>
      </w:r>
      <w:r>
        <w:t xml:space="preserve"> </w:t>
      </w:r>
      <w:r>
        <w:t xml:space="preserve">Subcategories become demonstrable. Write it so each rule maps to a</w:t>
      </w:r>
      <w:r>
        <w:t xml:space="preserve"> </w:t>
      </w:r>
      <w:r>
        <w:t xml:space="preserve">Subcategory an assessor can name.</w:t>
      </w:r>
    </w:p>
    <w:bookmarkStart w:id="27" w:name="Xd7cb529a66fe1e7a84ebb034f0046115b78ed05"/>
    <w:p>
      <w:pPr>
        <w:pStyle w:val="Heading3"/>
      </w:pPr>
      <w:r>
        <w:t xml:space="preserve">4.1 Subcategory-Aligned Policy Framework</w:t>
      </w:r>
    </w:p>
    <w:p>
      <w:pPr>
        <w:pStyle w:val="FirstParagraph"/>
      </w:pPr>
      <w:r>
        <w:rPr>
          <w:b/>
          <w:bCs/>
        </w:rPr>
        <w:t xml:space="preserve">Absolute policies:</w:t>
      </w:r>
    </w:p>
    <w:p>
      <w:pPr>
        <w:pStyle w:val="SourceCode"/>
      </w:pPr>
      <w:r>
        <w:rPr>
          <w:rStyle w:val="VerbatimChar"/>
        </w:rPr>
        <w:t xml:space="preserve">DENY  Any                         → Crown-Jewel-Systems      (default deny inbound — PR.IR-01)</w:t>
      </w:r>
      <w:r>
        <w:br/>
      </w:r>
      <w:r>
        <w:rPr>
          <w:rStyle w:val="VerbatimChar"/>
        </w:rPr>
        <w:t xml:space="preserve">DENY  Crown-Jewel-Systems         → Internet                 (no direct egress from crown jewels)</w:t>
      </w:r>
      <w:r>
        <w:br/>
      </w:r>
      <w:r>
        <w:rPr>
          <w:rStyle w:val="VerbatimChar"/>
        </w:rPr>
        <w:t xml:space="preserve">DENY  Third-Party-Connectivity    → Crown-Jewel-Systems      (vendor paths terminate short of crown jewels)</w:t>
      </w:r>
      <w:r>
        <w:br/>
      </w:r>
      <w:r>
        <w:rPr>
          <w:rStyle w:val="VerbatimChar"/>
        </w:rPr>
        <w:t xml:space="preserve">DENY  Business-Applications       → Crown-Jewel-Systems      (promotion only via documented interfaces)</w:t>
      </w:r>
    </w:p>
    <w:p>
      <w:pPr>
        <w:pStyle w:val="FirstParagraph"/>
      </w:pPr>
      <w:r>
        <w:rPr>
          <w:b/>
          <w:bCs/>
        </w:rPr>
        <w:t xml:space="preserve">Allowlist policies (least privilege — PR.AA-05):</w:t>
      </w:r>
    </w:p>
    <w:p>
      <w:pPr>
        <w:pStyle w:val="SourceCode"/>
      </w:pPr>
      <w:r>
        <w:rPr>
          <w:rStyle w:val="VerbatimChar"/>
        </w:rPr>
        <w:t xml:space="preserve">ALLOW External-Facing             → Internal-Facing          tcp/443</w:t>
      </w:r>
      <w:r>
        <w:br/>
      </w:r>
      <w:r>
        <w:rPr>
          <w:rStyle w:val="VerbatimChar"/>
        </w:rPr>
        <w:t xml:space="preserve">ALLOW Internal-Facing             → Critical-Data-Stores     tcp/&lt;db-port-tls&gt;</w:t>
      </w:r>
      <w:r>
        <w:br/>
      </w:r>
      <w:r>
        <w:rPr>
          <w:rStyle w:val="VerbatimChar"/>
        </w:rPr>
        <w:t xml:space="preserve">ALLOW Crown-Jewel-Systems         → Identity-Services        tcp/636, tcp/88</w:t>
      </w:r>
      <w:r>
        <w:br/>
      </w:r>
      <w:r>
        <w:rPr>
          <w:rStyle w:val="VerbatimChar"/>
        </w:rPr>
        <w:t xml:space="preserve">ALLOW Privileged-Access-Paths     → Crown-Jewel-Systems      tcp/22, tcp/3389</w:t>
      </w:r>
      <w:r>
        <w:br/>
      </w:r>
      <w:r>
        <w:rPr>
          <w:rStyle w:val="VerbatimChar"/>
        </w:rPr>
        <w:t xml:space="preserve">ALLOW Enterprise                  → Logging-and-Monitoring   tcp/443, udp/514</w:t>
      </w:r>
    </w:p>
    <w:p>
      <w:pPr>
        <w:pStyle w:val="FirstParagraph"/>
      </w:pPr>
      <w:r>
        <w:rPr>
          <w:b/>
          <w:bCs/>
        </w:rPr>
        <w:t xml:space="preserve">Catch-all:</w:t>
      </w:r>
    </w:p>
    <w:p>
      <w:pPr>
        <w:pStyle w:val="SourceCode"/>
      </w:pPr>
      <w:r>
        <w:rPr>
          <w:rStyle w:val="VerbatimChar"/>
        </w:rPr>
        <w:t xml:space="preserve">LOG   Any                         → Crown-Jewel-Systems      (unmatched inbound — DE.CM-01)</w:t>
      </w:r>
      <w:r>
        <w:br/>
      </w:r>
      <w:r>
        <w:rPr>
          <w:rStyle w:val="VerbatimChar"/>
        </w:rPr>
        <w:t xml:space="preserve">LOG   Crown-Jewel-Systems         → Any                      (unmatched outbound — DE.CM-01)</w:t>
      </w:r>
      <w:r>
        <w:br/>
      </w:r>
      <w:r>
        <w:rPr>
          <w:rStyle w:val="VerbatimChar"/>
        </w:rPr>
        <w:t xml:space="preserve">LOG   Enterprise                  → Any                      (plaintext: tcp/80, tcp/21, tcp/23, tcp/389, udp/161)</w:t>
      </w:r>
    </w:p>
    <w:bookmarkEnd w:id="27"/>
    <w:bookmarkStart w:id="28" w:name="X549895a5273846e8f584dbdbf7813246b0b1e40"/>
    <w:p>
      <w:pPr>
        <w:pStyle w:val="Heading3"/>
      </w:pPr>
      <w:r>
        <w:t xml:space="preserve">4.2 Policy Workspace Lifecycle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Validate the candidate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Enforcement (high-confidence rules only)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Enforce obvious deny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Full Enforcement</w:t>
            </w:r>
          </w:p>
        </w:tc>
        <w:tc>
          <w:tcPr/>
          <w:p>
            <w:pPr>
              <w:pStyle w:val="Compact"/>
            </w:pPr>
            <w:r>
              <w:t xml:space="preserve">Ongoing</w:t>
            </w:r>
          </w:p>
        </w:tc>
        <w:tc>
          <w:tcPr/>
          <w:p>
            <w:pPr>
              <w:pStyle w:val="Compact"/>
            </w:pPr>
            <w:r>
              <w:t xml:space="preserve">Workload allowlist enforced; monthly exception review</w:t>
            </w:r>
          </w:p>
        </w:tc>
      </w:tr>
    </w:tbl>
    <w:bookmarkEnd w:id="28"/>
    <w:bookmarkStart w:id="29" w:name="X9e3cddda90623bcd393016e32c746c98f078028"/>
    <w:p>
      <w:pPr>
        <w:pStyle w:val="Heading3"/>
      </w:pPr>
      <w:r>
        <w:t xml:space="preserve">4.3 Policy State as Profile Progress</w:t>
      </w:r>
    </w:p>
    <w:p>
      <w:pPr>
        <w:pStyle w:val="FirstParagraph"/>
      </w:pPr>
      <w:r>
        <w:t xml:space="preserve">The Current-to-Target Profile delta is usually tracked in a spreadsheet</w:t>
      </w:r>
      <w:r>
        <w:t xml:space="preserve"> </w:t>
      </w:r>
      <w:r>
        <w:t xml:space="preserve">that ages immediately. Policy state is a better source because it cannot</w:t>
      </w:r>
      <w:r>
        <w:t xml:space="preserve"> </w:t>
      </w:r>
      <w:r>
        <w:t xml:space="preserve">drift from reality: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 state for a scope</w:t>
            </w:r>
          </w:p>
        </w:tc>
        <w:tc>
          <w:tcPr/>
          <w:p>
            <w:pPr>
              <w:pStyle w:val="Compact"/>
            </w:pPr>
            <w:r>
              <w:t xml:space="preserve">Current Profile reality</w:t>
            </w:r>
          </w:p>
        </w:tc>
        <w:tc>
          <w:tcPr/>
          <w:p>
            <w:pPr>
              <w:pStyle w:val="Compact"/>
            </w:pPr>
            <w:r>
              <w:t xml:space="preserve">Subcategory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workspace</w:t>
            </w:r>
          </w:p>
        </w:tc>
        <w:tc>
          <w:tcPr/>
          <w:p>
            <w:pPr>
              <w:pStyle w:val="Compact"/>
            </w:pPr>
            <w:r>
              <w:t xml:space="preserve">ID.AM-03 partially met at best</w:t>
            </w:r>
          </w:p>
        </w:tc>
        <w:tc>
          <w:tcPr/>
          <w:p>
            <w:pPr>
              <w:pStyle w:val="Compact"/>
            </w:pPr>
            <w:r>
              <w:t xml:space="preserve">ADM baseline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Simulation</w:t>
            </w:r>
          </w:p>
        </w:tc>
        <w:tc>
          <w:tcPr/>
          <w:p>
            <w:pPr>
              <w:pStyle w:val="Compact"/>
            </w:pPr>
            <w:r>
              <w:t xml:space="preserve">Protect outcomes designed, not achieved</w:t>
            </w:r>
          </w:p>
        </w:tc>
        <w:tc>
          <w:tcPr/>
          <w:p>
            <w:pPr>
              <w:pStyle w:val="Compact"/>
            </w:pPr>
            <w:r>
              <w:t xml:space="preserve">Policy export + simulation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Enforced, deny-by-default inbound</w:t>
            </w:r>
          </w:p>
        </w:tc>
        <w:tc>
          <w:tcPr/>
          <w:p>
            <w:pPr>
              <w:pStyle w:val="Compact"/>
            </w:pPr>
            <w:r>
              <w:t xml:space="preserve">PR.IR-01 and PR.AA-05 demonstrable</w:t>
            </w:r>
          </w:p>
        </w:tc>
        <w:tc>
          <w:tcPr/>
          <w:p>
            <w:pPr>
              <w:pStyle w:val="Compact"/>
            </w:pPr>
            <w:r>
              <w:t xml:space="preserve">Policy export + Denied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Enforced with pre-staged containment rules</w:t>
            </w:r>
          </w:p>
        </w:tc>
        <w:tc>
          <w:tcPr/>
          <w:p>
            <w:pPr>
              <w:pStyle w:val="Compact"/>
            </w:pPr>
            <w:r>
              <w:t xml:space="preserve">RS.MI-01 / RS.MI-02 demonstrable</w:t>
            </w:r>
          </w:p>
        </w:tc>
        <w:tc>
          <w:tcPr/>
          <w:p>
            <w:pPr>
              <w:pStyle w:val="Compact"/>
            </w:pPr>
            <w:r>
              <w:t xml:space="preserve">Containment policy + exercise record</w:t>
            </w:r>
          </w:p>
        </w:tc>
      </w:tr>
    </w:tbl>
    <w:p>
      <w:pPr>
        <w:pStyle w:val="BodyText"/>
      </w:pPr>
      <w:r>
        <w:t xml:space="preserve">Pre-staging containment rules in a disabled workspace is worth calling out</w:t>
      </w:r>
      <w:r>
        <w:t xml:space="preserve"> </w:t>
      </w:r>
      <w:r>
        <w:t xml:space="preserve">to the assessor: it converts RS.MI from a written procedure into a tested</w:t>
      </w:r>
      <w:r>
        <w:t xml:space="preserve"> </w:t>
      </w:r>
      <w:r>
        <w:t xml:space="preserve">capability with a measurable activation time.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a889565cecbba9a102ac80246131220b00a97b"/>
    <w:p>
      <w:pPr>
        <w:pStyle w:val="Heading2"/>
      </w:pPr>
      <w:r>
        <w:t xml:space="preserve">5. Govern (GV) — Organisational Context, Strategy, Oversight</w:t>
      </w:r>
    </w:p>
    <w:p>
      <w:pPr>
        <w:pStyle w:val="FirstParagraph"/>
      </w:pPr>
      <w:r>
        <w:t xml:space="preserve">GV is the new Function in CSF 2.0. CSW does not establish strategy</w:t>
      </w:r>
      <w:r>
        <w:t xml:space="preserve"> </w:t>
      </w:r>
      <w:r>
        <w:t xml:space="preserve">or assign roles. It contributes by supplying the</w:t>
      </w:r>
      <w:r>
        <w:t xml:space="preserve"> </w:t>
      </w:r>
      <w:r>
        <w:rPr>
          <w:i/>
          <w:iCs/>
        </w:rPr>
        <w:t xml:space="preserve">technical evidence</w:t>
      </w:r>
      <w:r>
        <w:rPr>
          <w:i/>
          <w:iCs/>
        </w:rPr>
        <w:t xml:space="preserve"> </w:t>
      </w:r>
      <w:r>
        <w:rPr>
          <w:i/>
          <w:iCs/>
        </w:rPr>
        <w:t xml:space="preserve">pack</w:t>
      </w:r>
      <w:r>
        <w:t xml:space="preserve"> </w:t>
      </w:r>
      <w:r>
        <w:t xml:space="preserve">the management body needs to discharge GV.OV (Oversight) and</w:t>
      </w:r>
      <w:r>
        <w:t xml:space="preserve"> </w:t>
      </w:r>
      <w:r>
        <w:t xml:space="preserve">GV.SC (Supply Chain) responsibilities credibly.</w:t>
      </w:r>
    </w:p>
    <w:p>
      <w:pPr>
        <w:pStyle w:val="BodyText"/>
      </w:pPr>
      <w:r>
        <w:rPr>
          <w:b/>
          <w:bCs/>
        </w:rPr>
        <w:t xml:space="preserve">Subcategories where CSW supplies inputs: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GV.OV-01</w:t>
            </w:r>
          </w:p>
        </w:tc>
        <w:tc>
          <w:tcPr/>
          <w:p>
            <w:pPr>
              <w:pStyle w:val="Compact"/>
            </w:pPr>
            <w:r>
              <w:t xml:space="preserve">Cybersecurity strategy outcomes are reviewed</w:t>
            </w:r>
          </w:p>
        </w:tc>
        <w:tc>
          <w:tcPr/>
          <w:p>
            <w:pPr>
              <w:pStyle w:val="Compact"/>
            </w:pPr>
            <w:r>
              <w:t xml:space="preserve">Quarterly evidence pack feeding the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GV.OV-02</w:t>
            </w:r>
          </w:p>
        </w:tc>
        <w:tc>
          <w:tcPr/>
          <w:p>
            <w:pPr>
              <w:pStyle w:val="Compact"/>
            </w:pPr>
            <w:r>
              <w:t xml:space="preserve">Cybersecurity risk management strategy adjusted</w:t>
            </w:r>
          </w:p>
        </w:tc>
        <w:tc>
          <w:tcPr/>
          <w:p>
            <w:pPr>
              <w:pStyle w:val="Compact"/>
            </w:pPr>
            <w:r>
              <w:t xml:space="preserve">Trend reports (incident counts, MTTD/MTTR, vuln backlog)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GV.OV-03</w:t>
            </w:r>
          </w:p>
        </w:tc>
        <w:tc>
          <w:tcPr/>
          <w:p>
            <w:pPr>
              <w:pStyle w:val="Compact"/>
            </w:pPr>
            <w:r>
              <w:t xml:space="preserve">Cybersecurity strategy and capabilities evaluated</w:t>
            </w:r>
          </w:p>
        </w:tc>
        <w:tc>
          <w:tcPr/>
          <w:p>
            <w:pPr>
              <w:pStyle w:val="Compact"/>
            </w:pPr>
            <w:r>
              <w:t xml:space="preserve">Posture summary across ID/PR/DE/RS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GV.SC-04</w:t>
            </w:r>
          </w:p>
        </w:tc>
        <w:tc>
          <w:tcPr/>
          <w:p>
            <w:pPr>
              <w:pStyle w:val="Compact"/>
            </w:pPr>
            <w:r>
              <w:t xml:space="preserve">Suppliers known and prioritised</w:t>
            </w:r>
          </w:p>
        </w:tc>
        <w:tc>
          <w:tcPr/>
          <w:p>
            <w:pPr>
              <w:pStyle w:val="Compact"/>
            </w:pPr>
            <w:r>
              <w:t xml:space="preserve">Vendor-egress inventory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GV.SC-07</w:t>
            </w:r>
          </w:p>
        </w:tc>
        <w:tc>
          <w:tcPr/>
          <w:p>
            <w:pPr>
              <w:pStyle w:val="Compact"/>
            </w:pPr>
            <w:r>
              <w:t xml:space="preserve">Risks of suppliers monitored</w:t>
            </w:r>
          </w:p>
        </w:tc>
        <w:tc>
          <w:tcPr/>
          <w:p>
            <w:pPr>
              <w:pStyle w:val="Compact"/>
            </w:pPr>
            <w:r>
              <w:t xml:space="preserve">Vendor-egress drift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GV.SC-09</w:t>
            </w:r>
          </w:p>
        </w:tc>
        <w:tc>
          <w:tcPr/>
          <w:p>
            <w:pPr>
              <w:pStyle w:val="Compact"/>
            </w:pPr>
            <w:r>
              <w:t xml:space="preserve">Supply chain security practices integrated</w:t>
            </w:r>
          </w:p>
        </w:tc>
        <w:tc>
          <w:tcPr/>
          <w:p>
            <w:pPr>
              <w:pStyle w:val="Compact"/>
            </w:pPr>
            <w:r>
              <w:t xml:space="preserve">Egress allowlist + reconciliation against contract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GV.SC-10</w:t>
            </w:r>
          </w:p>
        </w:tc>
        <w:tc>
          <w:tcPr/>
          <w:p>
            <w:pPr>
              <w:pStyle w:val="Compact"/>
            </w:pPr>
            <w:r>
              <w:t xml:space="preserve">Cybersecurity supply chain risk management plans address end-of-life</w:t>
            </w:r>
          </w:p>
        </w:tc>
        <w:tc>
          <w:tcPr/>
          <w:p>
            <w:pPr>
              <w:pStyle w:val="Compact"/>
            </w:pPr>
            <w:r>
              <w:t xml:space="preserve">Software inventory with vendor-EOL flags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Standing quarterly evidence pack to management body</w:t>
      </w:r>
      <w:r>
        <w:br/>
      </w:r>
      <w:r>
        <w:rPr>
          <w:rStyle w:val="VerbatimChar"/>
        </w:rPr>
        <w:t xml:space="preserve">  Sections (each ~1 page):</w:t>
      </w:r>
      <w:r>
        <w:br/>
      </w:r>
      <w:r>
        <w:rPr>
          <w:rStyle w:val="VerbatimChar"/>
        </w:rPr>
        <w:t xml:space="preserve">    1. Workload inventory drift summary (ID.AM)</w:t>
      </w:r>
      <w:r>
        <w:br/>
      </w:r>
      <w:r>
        <w:rPr>
          <w:rStyle w:val="VerbatimChar"/>
        </w:rPr>
        <w:t xml:space="preserve">    2. Vulnerability backlog by criticality (ID.RA / PR.PS)</w:t>
      </w:r>
      <w:r>
        <w:br/>
      </w:r>
      <w:r>
        <w:rPr>
          <w:rStyle w:val="VerbatimChar"/>
        </w:rPr>
        <w:t xml:space="preserve">    3. Segmentation policy diff (PR.IR)</w:t>
      </w:r>
      <w:r>
        <w:br/>
      </w:r>
      <w:r>
        <w:rPr>
          <w:rStyle w:val="VerbatimChar"/>
        </w:rPr>
        <w:t xml:space="preserve">    4. Detection summary + MTTD/MTTR trend (DE.CM / RS.AN)</w:t>
      </w:r>
      <w:r>
        <w:br/>
      </w:r>
      <w:r>
        <w:rPr>
          <w:rStyle w:val="VerbatimChar"/>
        </w:rPr>
        <w:t xml:space="preserve">    5. Incident summary with severity distribution (RS / RC)</w:t>
      </w:r>
      <w:r>
        <w:br/>
      </w:r>
      <w:r>
        <w:rPr>
          <w:rStyle w:val="VerbatimChar"/>
        </w:rPr>
        <w:t xml:space="preserve">    6. Vendor-egress drift summary (GV.SC)</w:t>
      </w:r>
      <w:r>
        <w:br/>
      </w:r>
      <w:r>
        <w:rPr>
          <w:rStyle w:val="VerbatimChar"/>
        </w:rPr>
        <w:t xml:space="preserve">    7. Open audit/regulatory findings + remediation (GV.OV)</w:t>
      </w:r>
      <w:r>
        <w:br/>
      </w:r>
      <w:r>
        <w:br/>
      </w:r>
      <w:r>
        <w:rPr>
          <w:rStyle w:val="VerbatimChar"/>
        </w:rPr>
        <w:t xml:space="preserve">Step 2: Schedule generation</w:t>
      </w:r>
      <w:r>
        <w:br/>
      </w:r>
      <w:r>
        <w:rPr>
          <w:rStyle w:val="VerbatimChar"/>
        </w:rPr>
        <w:t xml:space="preserve">  → CSW reports (Inventory, Vulnerability, Policy Diff, Alert</w:t>
      </w:r>
      <w:r>
        <w:br/>
      </w:r>
      <w:r>
        <w:rPr>
          <w:rStyle w:val="VerbatimChar"/>
        </w:rPr>
        <w:t xml:space="preserve">    Summary) all available via API for automated aggregation</w:t>
      </w:r>
      <w:r>
        <w:br/>
      </w:r>
      <w:r>
        <w:rPr>
          <w:rStyle w:val="VerbatimChar"/>
        </w:rPr>
        <w:t xml:space="preserve">  → Recommended: stand up a small report-generation script that</w:t>
      </w:r>
      <w:r>
        <w:br/>
      </w:r>
      <w:r>
        <w:rPr>
          <w:rStyle w:val="VerbatimChar"/>
        </w:rPr>
        <w:t xml:space="preserve">    pulls each section monthly and rolls up quarterly</w:t>
      </w:r>
    </w:p>
    <w:p>
      <w:pPr>
        <w:pStyle w:val="FirstParagraph"/>
      </w:pPr>
      <w:r>
        <w:rPr>
          <w:b/>
          <w:bCs/>
        </w:rPr>
        <w:t xml:space="preserve">Evidence:</w:t>
      </w:r>
      <w:r>
        <w:t xml:space="preserve"> </w:t>
      </w:r>
      <w:r>
        <w:t xml:space="preserve">standing quarterly evidence pack with auditable</w:t>
      </w:r>
      <w:r>
        <w:t xml:space="preserve"> </w:t>
      </w:r>
      <w:r>
        <w:t xml:space="preserve">generation date and management-body sign-off.</w:t>
      </w:r>
    </w:p>
    <w:p>
      <w:r>
        <w:pict>
          <v:rect style="width:0;height:1.5pt" o:hralign="center" o:hrstd="t" o:hr="t"/>
        </w:pict>
      </w:r>
    </w:p>
    <w:bookmarkEnd w:id="31"/>
    <w:bookmarkStart w:id="34" w:name="X0d1420dc9bb10ce05a4c5a6654f73442e9e437f"/>
    <w:p>
      <w:pPr>
        <w:pStyle w:val="Heading2"/>
      </w:pPr>
      <w:r>
        <w:t xml:space="preserve">6. Identify (ID) — Asset Management, Risk Assessment</w:t>
      </w:r>
    </w:p>
    <w:p>
      <w:pPr>
        <w:pStyle w:val="FirstParagraph"/>
      </w:pPr>
      <w:r>
        <w:t xml:space="preserve">CSF 2.0 emphasises Identify as the precondition for everything</w:t>
      </w:r>
      <w:r>
        <w:t xml:space="preserve"> </w:t>
      </w:r>
      <w:r>
        <w:t xml:space="preserve">downstream. You can't protect what you can't see; you can't</w:t>
      </w:r>
      <w:r>
        <w:t xml:space="preserve"> </w:t>
      </w:r>
      <w:r>
        <w:t xml:space="preserve">prioritise risk you can't measure.</w:t>
      </w:r>
    </w:p>
    <w:p>
      <w:pPr>
        <w:pStyle w:val="BodyText"/>
      </w:pPr>
      <w:r>
        <w:rPr>
          <w:b/>
          <w:bCs/>
        </w:rPr>
        <w:t xml:space="preserve">Subcategories where CSW is the primary technical control:</w:t>
      </w:r>
    </w:p>
    <w:bookmarkStart w:id="32" w:name="idam--asset-management"/>
    <w:p>
      <w:pPr>
        <w:pStyle w:val="Heading3"/>
      </w:pPr>
      <w:r>
        <w:t xml:space="preserve">ID.AM — Asset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ID.AM-01</w:t>
            </w:r>
          </w:p>
        </w:tc>
        <w:tc>
          <w:tcPr/>
          <w:p>
            <w:pPr>
              <w:pStyle w:val="Compact"/>
            </w:pPr>
            <w:r>
              <w:t xml:space="preserve">Inventories of hardware are maintained</w:t>
            </w:r>
          </w:p>
        </w:tc>
        <w:tc>
          <w:tcPr/>
          <w:p>
            <w:pPr>
              <w:pStyle w:val="Compact"/>
            </w:pPr>
            <w:r>
              <w:t xml:space="preserve">Continuous workload inventory + cloud asset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ID.AM-02</w:t>
            </w:r>
          </w:p>
        </w:tc>
        <w:tc>
          <w:tcPr/>
          <w:p>
            <w:pPr>
              <w:pStyle w:val="Compact"/>
            </w:pPr>
            <w:r>
              <w:t xml:space="preserve">Inventories of software, services, and systems are maintained</w:t>
            </w:r>
          </w:p>
        </w:tc>
        <w:tc>
          <w:tcPr/>
          <w:p>
            <w:pPr>
              <w:pStyle w:val="Compact"/>
            </w:pPr>
            <w:r>
              <w:t xml:space="preserve">Per-workload package + service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ID.AM-03</w:t>
            </w:r>
          </w:p>
        </w:tc>
        <w:tc>
          <w:tcPr/>
          <w:p>
            <w:pPr>
              <w:pStyle w:val="Compact"/>
            </w:pPr>
            <w:r>
              <w:t xml:space="preserve">Representations of organisation's authorised network communication and internal/external network data flows are maintained</w:t>
            </w:r>
          </w:p>
        </w:tc>
        <w:tc>
          <w:tcPr/>
          <w:p>
            <w:pPr>
              <w:pStyle w:val="Compact"/>
            </w:pPr>
            <w:r>
              <w:t xml:space="preserve">ADM dependency graph; observed flow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ID.AM-04</w:t>
            </w:r>
          </w:p>
        </w:tc>
        <w:tc>
          <w:tcPr/>
          <w:p>
            <w:pPr>
              <w:pStyle w:val="Compact"/>
            </w:pPr>
            <w:r>
              <w:t xml:space="preserve">Inventories of services provided by suppliers are maintained</w:t>
            </w:r>
          </w:p>
        </w:tc>
        <w:tc>
          <w:tcPr/>
          <w:p>
            <w:pPr>
              <w:pStyle w:val="Compact"/>
            </w:pPr>
            <w:r>
              <w:t xml:space="preserve">Vendor-egress observation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ID.AM-05</w:t>
            </w:r>
          </w:p>
        </w:tc>
        <w:tc>
          <w:tcPr/>
          <w:p>
            <w:pPr>
              <w:pStyle w:val="Compact"/>
            </w:pPr>
            <w:r>
              <w:t xml:space="preserve">Assets are prioritised based on classification, criticality, resources, and impact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crit_band</w:t>
            </w:r>
            <w:r>
              <w:t xml:space="preserve"> </w:t>
            </w:r>
            <w:r>
              <w:t xml:space="preserve">labels drive scope-based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ID.AM-07</w:t>
            </w:r>
          </w:p>
        </w:tc>
        <w:tc>
          <w:tcPr/>
          <w:p>
            <w:pPr>
              <w:pStyle w:val="Compact"/>
            </w:pPr>
            <w:r>
              <w:t xml:space="preserve">Inventories of data and corresponding metadata for designated data types are maintained</w:t>
            </w:r>
          </w:p>
        </w:tc>
        <w:tc>
          <w:tcPr/>
          <w:p>
            <w:pPr>
              <w:pStyle w:val="Compact"/>
            </w:pPr>
            <w:r>
              <w:t xml:space="preserve">Workload labels (</w:t>
            </w:r>
            <w:r>
              <w:rPr>
                <w:rStyle w:val="VerbatimChar"/>
              </w:rPr>
              <w:t xml:space="preserve">data_class</w:t>
            </w:r>
            <w:r>
              <w:t xml:space="preserve">) anchor data-tier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ID.AM-08</w:t>
            </w:r>
          </w:p>
        </w:tc>
        <w:tc>
          <w:tcPr/>
          <w:p>
            <w:pPr>
              <w:pStyle w:val="Compact"/>
            </w:pPr>
            <w:r>
              <w:t xml:space="preserve">Systems, hardware, software, services, and data are managed throughout their lifecycle</w:t>
            </w:r>
          </w:p>
        </w:tc>
        <w:tc>
          <w:tcPr/>
          <w:p>
            <w:pPr>
              <w:pStyle w:val="Compact"/>
            </w:pPr>
            <w:r>
              <w:t xml:space="preserve">Vendor-EOL flag in software inventory</w:t>
            </w:r>
          </w:p>
        </w:tc>
      </w:tr>
    </w:tbl>
    <w:bookmarkEnd w:id="32"/>
    <w:bookmarkStart w:id="33" w:name="idra--risk-assessment"/>
    <w:p>
      <w:pPr>
        <w:pStyle w:val="Heading3"/>
      </w:pPr>
      <w:r>
        <w:t xml:space="preserve">ID.RA —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ID.RA-01</w:t>
            </w:r>
          </w:p>
        </w:tc>
        <w:tc>
          <w:tcPr/>
          <w:p>
            <w:pPr>
              <w:pStyle w:val="Compact"/>
            </w:pPr>
            <w:r>
              <w:t xml:space="preserve">Vulnerabilities in assets are identified, validated, recorded</w:t>
            </w:r>
          </w:p>
        </w:tc>
        <w:tc>
          <w:tcPr/>
          <w:p>
            <w:pPr>
              <w:pStyle w:val="Compact"/>
            </w:pPr>
            <w:r>
              <w:t xml:space="preserve">Continuous CVE inventory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ID.RA-02</w:t>
            </w:r>
          </w:p>
        </w:tc>
        <w:tc>
          <w:tcPr/>
          <w:p>
            <w:pPr>
              <w:pStyle w:val="Compact"/>
            </w:pPr>
            <w:r>
              <w:t xml:space="preserve">Cyber threat intelligence is received</w:t>
            </w:r>
          </w:p>
        </w:tc>
        <w:tc>
          <w:tcPr/>
          <w:p>
            <w:pPr>
              <w:pStyle w:val="Compact"/>
            </w:pPr>
            <w:r>
              <w:t xml:space="preserve">CSW threat-intel feeds enrich CVE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ID.RA-03</w:t>
            </w:r>
          </w:p>
        </w:tc>
        <w:tc>
          <w:tcPr/>
          <w:p>
            <w:pPr>
              <w:pStyle w:val="Compact"/>
            </w:pPr>
            <w:r>
              <w:t xml:space="preserve">Internal and external threats are identified and recorded</w:t>
            </w:r>
          </w:p>
        </w:tc>
        <w:tc>
          <w:tcPr/>
          <w:p>
            <w:pPr>
              <w:pStyle w:val="Compact"/>
            </w:pPr>
            <w:r>
              <w:t xml:space="preserve">Behavioural detection rule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ID.RA-05</w:t>
            </w:r>
          </w:p>
        </w:tc>
        <w:tc>
          <w:tcPr/>
          <w:p>
            <w:pPr>
              <w:pStyle w:val="Compact"/>
            </w:pPr>
            <w:r>
              <w:t xml:space="preserve">Threats, vulnerabilities, likelihoods, and impacts are used to understand inherent risk and inform risk response prioritisation</w:t>
            </w:r>
          </w:p>
        </w:tc>
        <w:tc>
          <w:tcPr/>
          <w:p>
            <w:pPr>
              <w:pStyle w:val="Compact"/>
            </w:pPr>
            <w:r>
              <w:t xml:space="preserve">Reachability-aware CVE prioritisation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ID.RA-06</w:t>
            </w:r>
          </w:p>
        </w:tc>
        <w:tc>
          <w:tcPr/>
          <w:p>
            <w:pPr>
              <w:pStyle w:val="Compact"/>
            </w:pPr>
            <w:r>
              <w:t xml:space="preserve">Risk responses are chosen, prioritised, planned, tracked, and communicated</w:t>
            </w:r>
          </w:p>
        </w:tc>
        <w:tc>
          <w:tcPr/>
          <w:p>
            <w:pPr>
              <w:pStyle w:val="Compact"/>
            </w:pPr>
            <w:r>
              <w:t xml:space="preserve">CVE backlog + remediation tracking + compensating-control 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ID.RA-07</w:t>
            </w:r>
          </w:p>
        </w:tc>
        <w:tc>
          <w:tcPr/>
          <w:p>
            <w:pPr>
              <w:pStyle w:val="Compact"/>
            </w:pPr>
            <w:r>
              <w:t xml:space="preserve">Changes and exceptions are managed, assessed for risk impact, recorded, and tracked</w:t>
            </w:r>
          </w:p>
        </w:tc>
        <w:tc>
          <w:tcPr/>
          <w:p>
            <w:pPr>
              <w:pStyle w:val="Compact"/>
            </w:pPr>
            <w:r>
              <w:t xml:space="preserve">Configuration drift report + change-ticket attribution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Achieve sensor + cloud-connector coverage (ID.AM-01/02)</w:t>
      </w:r>
      <w:r>
        <w:br/>
      </w:r>
      <w:r>
        <w:rPr>
          <w:rStyle w:val="VerbatimChar"/>
        </w:rPr>
        <w:t xml:space="preserve">Step 2: Run ADM per crit_band scope (ID.AM-03)</w:t>
      </w:r>
      <w:r>
        <w:br/>
      </w:r>
      <w:r>
        <w:rPr>
          <w:rStyle w:val="VerbatimChar"/>
        </w:rPr>
        <w:t xml:space="preserve">Step 3: Schedule continuous vulnerability inventory (ID.RA-01)</w:t>
      </w:r>
      <w:r>
        <w:br/>
      </w:r>
      <w:r>
        <w:rPr>
          <w:rStyle w:val="VerbatimChar"/>
        </w:rPr>
        <w:t xml:space="preserve">Step 4: Wire reachability + EPSS into CVE triage (ID.RA-05)</w:t>
      </w:r>
      <w:r>
        <w:br/>
      </w:r>
      <w:r>
        <w:rPr>
          <w:rStyle w:val="VerbatimChar"/>
        </w:rPr>
        <w:t xml:space="preserve">Step 5: Schedule weekly drift report tied to change tickets (ID.RA-07)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9ca217f52a711a9ac92cb487b0880874d69cdc7"/>
    <w:p>
      <w:pPr>
        <w:pStyle w:val="Heading2"/>
      </w:pPr>
      <w:r>
        <w:t xml:space="preserve">7. Protect (PR) — Safeguards</w:t>
      </w:r>
    </w:p>
    <w:p>
      <w:pPr>
        <w:pStyle w:val="FirstParagraph"/>
      </w:pPr>
      <w:r>
        <w:t xml:space="preserve">CSF 2.0 reorganised Protect substantially in 2024. The most CSW-</w:t>
      </w:r>
      <w:r>
        <w:t xml:space="preserve"> </w:t>
      </w:r>
      <w:r>
        <w:t xml:space="preserve">relevant Categories are PR.IR (Infrastructure Resilience) and</w:t>
      </w:r>
      <w:r>
        <w:t xml:space="preserve"> </w:t>
      </w:r>
      <w:r>
        <w:t xml:space="preserve">PR.PS (Platform Security).</w:t>
      </w:r>
    </w:p>
    <w:bookmarkStart w:id="35" w:name="X0923cd8db31c6404398b7a2f709e065095fef76"/>
    <w:p>
      <w:pPr>
        <w:pStyle w:val="Heading3"/>
      </w:pPr>
      <w:r>
        <w:t xml:space="preserve">PR.IR — Infrastructure Resilience (Network Protection)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PR.IR-01</w:t>
            </w:r>
          </w:p>
        </w:tc>
        <w:tc>
          <w:tcPr/>
          <w:p>
            <w:pPr>
              <w:pStyle w:val="Compact"/>
            </w:pPr>
            <w:r>
              <w:t xml:space="preserve">Networks and environments are protected from unauthorised logical access and usage</w:t>
            </w:r>
          </w:p>
        </w:tc>
        <w:tc>
          <w:tcPr/>
          <w:p>
            <w:pPr>
              <w:pStyle w:val="Compact"/>
            </w:pPr>
            <w:r>
              <w:t xml:space="preserve">Workload-level deny-by-default segmentation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PR.IR-02</w:t>
            </w:r>
          </w:p>
        </w:tc>
        <w:tc>
          <w:tcPr/>
          <w:p>
            <w:pPr>
              <w:pStyle w:val="Compact"/>
            </w:pPr>
            <w:r>
              <w:t xml:space="preserve">The organisation's technology assets are protected from environmental threats</w:t>
            </w:r>
          </w:p>
        </w:tc>
        <w:tc>
          <w:tcPr/>
          <w:p>
            <w:pPr>
              <w:pStyle w:val="Compact"/>
            </w:pPr>
            <w:r>
              <w:t xml:space="preserve">(CSW does not address physical/environmental — out of scope)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PR.IR-03</w:t>
            </w:r>
          </w:p>
        </w:tc>
        <w:tc>
          <w:tcPr/>
          <w:p>
            <w:pPr>
              <w:pStyle w:val="Compact"/>
            </w:pPr>
            <w:r>
              <w:t xml:space="preserve">Mechanisms are implemented to achieve resilience requirements in normal and adverse situations</w:t>
            </w:r>
          </w:p>
        </w:tc>
        <w:tc>
          <w:tcPr/>
          <w:p>
            <w:pPr>
              <w:pStyle w:val="Compact"/>
            </w:pPr>
            <w:r>
              <w:t xml:space="preserve">Quarantine policy for incident response; segmentation evolves under change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PR.IR-04</w:t>
            </w:r>
          </w:p>
        </w:tc>
        <w:tc>
          <w:tcPr/>
          <w:p>
            <w:pPr>
              <w:pStyle w:val="Compact"/>
            </w:pPr>
            <w:r>
              <w:t xml:space="preserve">Adequate resource capacity to ensure availability is maintained</w:t>
            </w:r>
          </w:p>
        </w:tc>
        <w:tc>
          <w:tcPr/>
          <w:p>
            <w:pPr>
              <w:pStyle w:val="Compact"/>
            </w:pPr>
            <w:r>
              <w:t xml:space="preserve">(CSW supports detection of resource-exhaustion patterns; primary control is capacity planning)</w:t>
            </w:r>
          </w:p>
        </w:tc>
      </w:tr>
    </w:tbl>
    <w:bookmarkEnd w:id="35"/>
    <w:bookmarkStart w:id="36" w:name="prps--platform-security"/>
    <w:p>
      <w:pPr>
        <w:pStyle w:val="Heading3"/>
      </w:pPr>
      <w:r>
        <w:t xml:space="preserve">PR.PS — Platform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PR.PS-01</w:t>
            </w:r>
          </w:p>
        </w:tc>
        <w:tc>
          <w:tcPr/>
          <w:p>
            <w:pPr>
              <w:pStyle w:val="Compact"/>
            </w:pPr>
            <w:r>
              <w:t xml:space="preserve">Configuration management practices are established and applied</w:t>
            </w:r>
          </w:p>
        </w:tc>
        <w:tc>
          <w:tcPr/>
          <w:p>
            <w:pPr>
              <w:pStyle w:val="Compact"/>
            </w:pPr>
            <w:r>
              <w:t xml:space="preserve">Daily baseline + drift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PR.PS-02</w:t>
            </w:r>
          </w:p>
        </w:tc>
        <w:tc>
          <w:tcPr/>
          <w:p>
            <w:pPr>
              <w:pStyle w:val="Compact"/>
            </w:pPr>
            <w:r>
              <w:t xml:space="preserve">Software is maintained, replaced, and removed commensurate with risk</w:t>
            </w:r>
          </w:p>
        </w:tc>
        <w:tc>
          <w:tcPr/>
          <w:p>
            <w:pPr>
              <w:pStyle w:val="Compact"/>
            </w:pPr>
            <w:r>
              <w:t xml:space="preserve">Per-workload software inventory + vendor-EOL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PR.PS-03</w:t>
            </w:r>
          </w:p>
        </w:tc>
        <w:tc>
          <w:tcPr/>
          <w:p>
            <w:pPr>
              <w:pStyle w:val="Compact"/>
            </w:pPr>
            <w:r>
              <w:t xml:space="preserve">Hardware is maintained, replaced, and removed commensurate with risk</w:t>
            </w:r>
          </w:p>
        </w:tc>
        <w:tc>
          <w:tcPr/>
          <w:p>
            <w:pPr>
              <w:pStyle w:val="Compact"/>
            </w:pPr>
            <w:r>
              <w:t xml:space="preserve">Inventory drift + asset lifecycle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PR.PS-04</w:t>
            </w:r>
          </w:p>
        </w:tc>
        <w:tc>
          <w:tcPr/>
          <w:p>
            <w:pPr>
              <w:pStyle w:val="Compact"/>
            </w:pPr>
            <w:r>
              <w:t xml:space="preserve">Log records are generated and made available for continuous monitoring</w:t>
            </w:r>
          </w:p>
        </w:tc>
        <w:tc>
          <w:tcPr/>
          <w:p>
            <w:pPr>
              <w:pStyle w:val="Compact"/>
            </w:pPr>
            <w:r>
              <w:t xml:space="preserve">Per-flow + per-process telemetry to SIEM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PR.PS-05</w:t>
            </w:r>
          </w:p>
        </w:tc>
        <w:tc>
          <w:tcPr/>
          <w:p>
            <w:pPr>
              <w:pStyle w:val="Compact"/>
            </w:pPr>
            <w:r>
              <w:t xml:space="preserve">Installation and execution of unauthorised software are prevented</w:t>
            </w:r>
          </w:p>
        </w:tc>
        <w:tc>
          <w:tcPr/>
          <w:p>
            <w:pPr>
              <w:pStyle w:val="Compact"/>
            </w:pPr>
            <w:r>
              <w:t xml:space="preserve">Behavioural rules + (IG3) allow-list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PR.PS-06</w:t>
            </w:r>
          </w:p>
        </w:tc>
        <w:tc>
          <w:tcPr/>
          <w:p>
            <w:pPr>
              <w:pStyle w:val="Compact"/>
            </w:pPr>
            <w:r>
              <w:t xml:space="preserve">Secure software development practices are integrated, and their performance is monitored</w:t>
            </w:r>
          </w:p>
        </w:tc>
        <w:tc>
          <w:tcPr/>
          <w:p>
            <w:pPr>
              <w:pStyle w:val="Compact"/>
            </w:pPr>
            <w:r>
              <w:t xml:space="preserve">CVE inventory feeds the SDLC; reachability for triage</w:t>
            </w:r>
          </w:p>
        </w:tc>
      </w:tr>
    </w:tbl>
    <w:bookmarkEnd w:id="36"/>
    <w:bookmarkStart w:id="37" w:name="Xc2d7523a2414d77a7333a4b927ac2736f6a70da"/>
    <w:p>
      <w:pPr>
        <w:pStyle w:val="Heading3"/>
      </w:pPr>
      <w:r>
        <w:t xml:space="preserve">PR.AA — Identity Management, Authentication, Access Control</w:t>
      </w:r>
    </w:p>
    <w:p>
      <w:pPr>
        <w:pStyle w:val="FirstParagraph"/>
      </w:pPr>
      <w:r>
        <w:t xml:space="preserve">CSW is supporting here; identity is upstream. CSW enforces</w:t>
      </w:r>
      <w:r>
        <w:t xml:space="preserve"> </w:t>
      </w:r>
      <w:r>
        <w:t xml:space="preserve">workload-side outcomes of upstream identity decisions.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PR.AA-01</w:t>
            </w:r>
          </w:p>
        </w:tc>
        <w:tc>
          <w:tcPr/>
          <w:p>
            <w:pPr>
              <w:pStyle w:val="Compact"/>
            </w:pPr>
            <w:r>
              <w:t xml:space="preserve">Identities and credentials for authorised users, services, and hardware are managed</w:t>
            </w:r>
          </w:p>
        </w:tc>
        <w:tc>
          <w:tcPr/>
          <w:p>
            <w:pPr>
              <w:pStyle w:val="Compact"/>
            </w:pPr>
            <w:r>
              <w:t xml:space="preserve">Workload labels carry identity context for policy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PR.AA-05</w:t>
            </w:r>
          </w:p>
        </w:tc>
        <w:tc>
          <w:tcPr/>
          <w:p>
            <w:pPr>
              <w:pStyle w:val="Compact"/>
            </w:pPr>
            <w:r>
              <w:t xml:space="preserve">Access permissions, entitlements, and authorisations are defined in a policy, managed, enforced, and reviewed</w:t>
            </w:r>
          </w:p>
        </w:tc>
        <w:tc>
          <w:tcPr/>
          <w:p>
            <w:pPr>
              <w:pStyle w:val="Compact"/>
            </w:pPr>
            <w:r>
              <w:t xml:space="preserve">Workload-tier policy enforcement + quarterly access review</w:t>
            </w:r>
          </w:p>
        </w:tc>
      </w:tr>
    </w:tbl>
    <w:bookmarkEnd w:id="37"/>
    <w:bookmarkStart w:id="38" w:name="prds--data-security"/>
    <w:p>
      <w:pPr>
        <w:pStyle w:val="Heading3"/>
      </w:pPr>
      <w:r>
        <w:t xml:space="preserve">PR.DS — Data Security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PR.DS-01</w:t>
            </w:r>
          </w:p>
        </w:tc>
        <w:tc>
          <w:tcPr/>
          <w:p>
            <w:pPr>
              <w:pStyle w:val="Compact"/>
            </w:pPr>
            <w:r>
              <w:t xml:space="preserve">The confidentiality, integrity, and availability of data-at-rest are protected</w:t>
            </w:r>
          </w:p>
        </w:tc>
        <w:tc>
          <w:tcPr/>
          <w:p>
            <w:pPr>
              <w:pStyle w:val="Compact"/>
            </w:pPr>
            <w:r>
              <w:t xml:space="preserve">(Out of scope — encryption at rest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PR.DS-02</w:t>
            </w:r>
          </w:p>
        </w:tc>
        <w:tc>
          <w:tcPr/>
          <w:p>
            <w:pPr>
              <w:pStyle w:val="Compact"/>
            </w:pPr>
            <w:r>
              <w:t xml:space="preserve">The confidentiality, integrity, and availability of data-in-transit are protected</w:t>
            </w:r>
          </w:p>
        </w:tc>
        <w:tc>
          <w:tcPr/>
          <w:p>
            <w:pPr>
              <w:pStyle w:val="Compact"/>
            </w:pPr>
            <w:r>
              <w:t xml:space="preserve">Plaintext-protocol DENY enforcement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Per-scope segmentation policy (PR.IR-01)</w:t>
      </w:r>
      <w:r>
        <w:br/>
      </w:r>
      <w:r>
        <w:rPr>
          <w:rStyle w:val="VerbatimChar"/>
        </w:rPr>
        <w:t xml:space="preserve">  → Build policy workspace; default deny; ADM-derived allow-list</w:t>
      </w:r>
      <w:r>
        <w:br/>
      </w:r>
      <w:r>
        <w:br/>
      </w:r>
      <w:r>
        <w:rPr>
          <w:rStyle w:val="VerbatimChar"/>
        </w:rPr>
        <w:t xml:space="preserve">Step 2: Daily baseline + drift detection (PR.PS-01)</w:t>
      </w:r>
      <w:r>
        <w:br/>
      </w:r>
      <w:r>
        <w:rPr>
          <w:rStyle w:val="VerbatimChar"/>
        </w:rPr>
        <w:t xml:space="preserve">  → Snapshot OS + packages + listening ports + processes</w:t>
      </w:r>
      <w:r>
        <w:br/>
      </w:r>
      <w:r>
        <w:rPr>
          <w:rStyle w:val="VerbatimChar"/>
        </w:rPr>
        <w:t xml:space="preserve">  → Daily diff with disposition column</w:t>
      </w:r>
      <w:r>
        <w:br/>
      </w:r>
      <w:r>
        <w:br/>
      </w:r>
      <w:r>
        <w:rPr>
          <w:rStyle w:val="VerbatimChar"/>
        </w:rPr>
        <w:t xml:space="preserve">Step 3: Software lifecycle (PR.PS-02)</w:t>
      </w:r>
      <w:r>
        <w:br/>
      </w:r>
      <w:r>
        <w:rPr>
          <w:rStyle w:val="VerbatimChar"/>
        </w:rPr>
        <w:t xml:space="preserve">  → Tag workloads running EOL software; route to platform team</w:t>
      </w:r>
      <w:r>
        <w:br/>
      </w:r>
      <w:r>
        <w:br/>
      </w:r>
      <w:r>
        <w:rPr>
          <w:rStyle w:val="VerbatimChar"/>
        </w:rPr>
        <w:t xml:space="preserve">Step 4: SIEM forwarding (PR.PS-04)</w:t>
      </w:r>
      <w:r>
        <w:br/>
      </w:r>
      <w:r>
        <w:rPr>
          <w:rStyle w:val="VerbatimChar"/>
        </w:rPr>
        <w:t xml:space="preserve">  → Per-flow + per-process events forwarded continuously</w:t>
      </w:r>
      <w:r>
        <w:br/>
      </w:r>
      <w:r>
        <w:br/>
      </w:r>
      <w:r>
        <w:rPr>
          <w:rStyle w:val="VerbatimChar"/>
        </w:rPr>
        <w:t xml:space="preserve">Step 5: Behavioural prevention (PR.PS-05)</w:t>
      </w:r>
      <w:r>
        <w:br/>
      </w:r>
      <w:r>
        <w:rPr>
          <w:rStyle w:val="VerbatimChar"/>
        </w:rPr>
        <w:t xml:space="preserve">  → Forensics rule catalogue; alert in IG2; block in IG3 patterns</w:t>
      </w:r>
      <w:r>
        <w:br/>
      </w:r>
      <w:r>
        <w:br/>
      </w:r>
      <w:r>
        <w:rPr>
          <w:rStyle w:val="VerbatimChar"/>
        </w:rPr>
        <w:t xml:space="preserve">Step 6: Plaintext DENY (PR.DS-02)</w:t>
      </w:r>
      <w:r>
        <w:br/>
      </w:r>
      <w:r>
        <w:rPr>
          <w:rStyle w:val="VerbatimChar"/>
        </w:rPr>
        <w:t xml:space="preserve">  → CSW policy: deny HTTP/FTP/Telnet/LDAP/SMTP plaintext flows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c05340dc0ec1e019630ce9e0b27eb4af0e194c9"/>
    <w:p>
      <w:pPr>
        <w:pStyle w:val="Heading2"/>
      </w:pPr>
      <w:r>
        <w:t xml:space="preserve">8. Detect (DE) — Continuous Monitoring, Adverse Event Analysis</w:t>
      </w:r>
    </w:p>
    <w:p>
      <w:pPr>
        <w:pStyle w:val="FirstParagraph"/>
      </w:pPr>
      <w:r>
        <w:t xml:space="preserve">The densest CSW alignment in CSF.</w:t>
      </w:r>
    </w:p>
    <w:bookmarkStart w:id="40" w:name="decm--continuous-monitoring"/>
    <w:p>
      <w:pPr>
        <w:pStyle w:val="Heading3"/>
      </w:pPr>
      <w:r>
        <w:t xml:space="preserve">DE.CM — Continuous Monitoring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DE.CM-01</w:t>
            </w:r>
          </w:p>
        </w:tc>
        <w:tc>
          <w:tcPr/>
          <w:p>
            <w:pPr>
              <w:pStyle w:val="Compact"/>
            </w:pPr>
            <w:r>
              <w:t xml:space="preserve">Networks and network services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CSW flow telemetry + behavioural rules + SIEM forwarding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DE.CM-02</w:t>
            </w:r>
          </w:p>
        </w:tc>
        <w:tc>
          <w:tcPr/>
          <w:p>
            <w:pPr>
              <w:pStyle w:val="Compact"/>
            </w:pPr>
            <w:r>
              <w:t xml:space="preserve">The physical environment is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(Out of scope — physical)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DE.CM-03</w:t>
            </w:r>
          </w:p>
        </w:tc>
        <w:tc>
          <w:tcPr/>
          <w:p>
            <w:pPr>
              <w:pStyle w:val="Compact"/>
            </w:pPr>
            <w:r>
              <w:t xml:space="preserve">Personnel activity and technology usage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Process telemetry + identity-aware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DE.CM-06</w:t>
            </w:r>
          </w:p>
        </w:tc>
        <w:tc>
          <w:tcPr/>
          <w:p>
            <w:pPr>
              <w:pStyle w:val="Compact"/>
            </w:pPr>
            <w:r>
              <w:t xml:space="preserve">External service provider activities and services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Vendor-egress observation + drift alerting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DE.CM-09</w:t>
            </w:r>
          </w:p>
        </w:tc>
        <w:tc>
          <w:tcPr/>
          <w:p>
            <w:pPr>
              <w:pStyle w:val="Compact"/>
            </w:pPr>
            <w:r>
              <w:t xml:space="preserve">Computing hardware and software, runtime environments, and their data are monitored to find potentially adverse events</w:t>
            </w:r>
          </w:p>
        </w:tc>
        <w:tc>
          <w:tcPr/>
          <w:p>
            <w:pPr>
              <w:pStyle w:val="Compact"/>
            </w:pPr>
            <w:r>
              <w:t xml:space="preserve">Per-workload process + package + flow telemetry</w:t>
            </w:r>
          </w:p>
        </w:tc>
      </w:tr>
    </w:tbl>
    <w:bookmarkEnd w:id="40"/>
    <w:bookmarkStart w:id="41" w:name="deae--adverse-event-analysis"/>
    <w:p>
      <w:pPr>
        <w:pStyle w:val="Heading3"/>
      </w:pPr>
      <w:r>
        <w:t xml:space="preserve">DE.AE — Adverse Event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DE.AE-02</w:t>
            </w:r>
          </w:p>
        </w:tc>
        <w:tc>
          <w:tcPr/>
          <w:p>
            <w:pPr>
              <w:pStyle w:val="Compact"/>
            </w:pPr>
            <w:r>
              <w:t xml:space="preserve">Potentially adverse events are analysed to better understand associated activities</w:t>
            </w:r>
          </w:p>
        </w:tc>
        <w:tc>
          <w:tcPr/>
          <w:p>
            <w:pPr>
              <w:pStyle w:val="Compact"/>
            </w:pPr>
            <w:r>
              <w:t xml:space="preserve">Forensic flow + process timeline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DE.AE-03</w:t>
            </w:r>
          </w:p>
        </w:tc>
        <w:tc>
          <w:tcPr/>
          <w:p>
            <w:pPr>
              <w:pStyle w:val="Compact"/>
            </w:pPr>
            <w:r>
              <w:t xml:space="preserve">Information is correlated from multiple sources</w:t>
            </w:r>
          </w:p>
        </w:tc>
        <w:tc>
          <w:tcPr/>
          <w:p>
            <w:pPr>
              <w:pStyle w:val="Compact"/>
            </w:pPr>
            <w:r>
              <w:t xml:space="preserve">CSW telemetry forwarded to SIEM for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DE.AE-04</w:t>
            </w:r>
          </w:p>
        </w:tc>
        <w:tc>
          <w:tcPr/>
          <w:p>
            <w:pPr>
              <w:pStyle w:val="Compact"/>
            </w:pPr>
            <w:r>
              <w:t xml:space="preserve">The estimated impact and scope of adverse events is understood</w:t>
            </w:r>
          </w:p>
        </w:tc>
        <w:tc>
          <w:tcPr/>
          <w:p>
            <w:pPr>
              <w:pStyle w:val="Compact"/>
            </w:pPr>
            <w:r>
              <w:t xml:space="preserve">Reachability + crit_band labels inform impact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DE.AE-06</w:t>
            </w:r>
          </w:p>
        </w:tc>
        <w:tc>
          <w:tcPr/>
          <w:p>
            <w:pPr>
              <w:pStyle w:val="Compact"/>
            </w:pPr>
            <w:r>
              <w:t xml:space="preserve">Information on adverse events is provided to authorised staff and tools</w:t>
            </w:r>
          </w:p>
        </w:tc>
        <w:tc>
          <w:tcPr/>
          <w:p>
            <w:pPr>
              <w:pStyle w:val="Compact"/>
            </w:pPr>
            <w:r>
              <w:t xml:space="preserve">SIEM forwarding + alert routing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DE.AE-07</w:t>
            </w:r>
          </w:p>
        </w:tc>
        <w:tc>
          <w:tcPr/>
          <w:p>
            <w:pPr>
              <w:pStyle w:val="Compact"/>
            </w:pPr>
            <w:r>
              <w:t xml:space="preserve">Cyber threat intelligence and other contextual information are integrated into the analysis</w:t>
            </w:r>
          </w:p>
        </w:tc>
        <w:tc>
          <w:tcPr/>
          <w:p>
            <w:pPr>
              <w:pStyle w:val="Compact"/>
            </w:pPr>
            <w:r>
              <w:t xml:space="preserve">Threat-intel-enriched detections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DE.AE-08</w:t>
            </w:r>
          </w:p>
        </w:tc>
        <w:tc>
          <w:tcPr/>
          <w:p>
            <w:pPr>
              <w:pStyle w:val="Compact"/>
            </w:pPr>
            <w:r>
              <w:t xml:space="preserve">Incidents are declared when adverse events meet the defined incident criteria</w:t>
            </w:r>
          </w:p>
        </w:tc>
        <w:tc>
          <w:tcPr/>
          <w:p>
            <w:pPr>
              <w:pStyle w:val="Compact"/>
            </w:pPr>
            <w:r>
              <w:t xml:space="preserve">Severity-based alert routing → IR ticket creation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Behavioural rules across crit_band scopes (DE.CM-01/03/09)</w:t>
      </w:r>
      <w:r>
        <w:br/>
      </w:r>
      <w:r>
        <w:rPr>
          <w:rStyle w:val="VerbatimChar"/>
        </w:rPr>
        <w:t xml:space="preserve">Step 2: Conversation-graph anomaly detection (DE.CM-01)</w:t>
      </w:r>
      <w:r>
        <w:br/>
      </w:r>
      <w:r>
        <w:rPr>
          <w:rStyle w:val="VerbatimChar"/>
        </w:rPr>
        <w:t xml:space="preserve">Step 3: SIEM forwarding for correlation (DE.AE-03/06)</w:t>
      </w:r>
      <w:r>
        <w:br/>
      </w:r>
      <w:r>
        <w:rPr>
          <w:rStyle w:val="VerbatimChar"/>
        </w:rPr>
        <w:t xml:space="preserve">Step 4: Threat-intel enrichment in CVE + behavioural pipeline (DE.AE-07)</w:t>
      </w:r>
      <w:r>
        <w:br/>
      </w:r>
      <w:r>
        <w:rPr>
          <w:rStyle w:val="VerbatimChar"/>
        </w:rPr>
        <w:t xml:space="preserve">Step 5: Severity-based incident-declaration thresholds (DE.AE-08)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4222631cd7240220b32abdcaf5be2de98c211b4"/>
    <w:p>
      <w:pPr>
        <w:pStyle w:val="Heading2"/>
      </w:pPr>
      <w:r>
        <w:t xml:space="preserve">9. Respond (RS) — Analysis, Mitigation, Reporting</w:t>
      </w:r>
    </w:p>
    <w:bookmarkStart w:id="43" w:name="rsma--incident-management"/>
    <w:p>
      <w:pPr>
        <w:pStyle w:val="Heading3"/>
      </w:pPr>
      <w:r>
        <w:t xml:space="preserve">RS.MA — Incident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RS.MA-01</w:t>
            </w:r>
          </w:p>
        </w:tc>
        <w:tc>
          <w:tcPr/>
          <w:p>
            <w:pPr>
              <w:pStyle w:val="Compact"/>
            </w:pPr>
            <w:r>
              <w:t xml:space="preserve">The incident response plan is executed in coordination with relevant third parties</w:t>
            </w:r>
          </w:p>
        </w:tc>
        <w:tc>
          <w:tcPr/>
          <w:p>
            <w:pPr>
              <w:pStyle w:val="Compact"/>
            </w:pPr>
            <w:r>
              <w:t xml:space="preserve">Six-artefact dossier ready for handoff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RS.MA-02</w:t>
            </w:r>
          </w:p>
        </w:tc>
        <w:tc>
          <w:tcPr/>
          <w:p>
            <w:pPr>
              <w:pStyle w:val="Compact"/>
            </w:pPr>
            <w:r>
              <w:t xml:space="preserve">Incident reports are triaged and validated</w:t>
            </w:r>
          </w:p>
        </w:tc>
        <w:tc>
          <w:tcPr/>
          <w:p>
            <w:pPr>
              <w:pStyle w:val="Compact"/>
            </w:pPr>
            <w:r>
              <w:t xml:space="preserve">Forensic context per dossier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RS.MA-03</w:t>
            </w:r>
          </w:p>
        </w:tc>
        <w:tc>
          <w:tcPr/>
          <w:p>
            <w:pPr>
              <w:pStyle w:val="Compact"/>
            </w:pPr>
            <w:r>
              <w:t xml:space="preserve">Incidents are categorised and prioritised</w:t>
            </w:r>
          </w:p>
        </w:tc>
        <w:tc>
          <w:tcPr/>
          <w:p>
            <w:pPr>
              <w:pStyle w:val="Compact"/>
            </w:pPr>
            <w:r>
              <w:t xml:space="preserve">crit_band + reachability inform 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RS.MA-04</w:t>
            </w:r>
          </w:p>
        </w:tc>
        <w:tc>
          <w:tcPr/>
          <w:p>
            <w:pPr>
              <w:pStyle w:val="Compact"/>
            </w:pPr>
            <w:r>
              <w:t xml:space="preserve">Incidents are escalated or elevated as needed</w:t>
            </w:r>
          </w:p>
        </w:tc>
        <w:tc>
          <w:tcPr/>
          <w:p>
            <w:pPr>
              <w:pStyle w:val="Compact"/>
            </w:pPr>
            <w:r>
              <w:t xml:space="preserve">Severity routing per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RS.MA-05</w:t>
            </w:r>
          </w:p>
        </w:tc>
        <w:tc>
          <w:tcPr/>
          <w:p>
            <w:pPr>
              <w:pStyle w:val="Compact"/>
            </w:pPr>
            <w:r>
              <w:t xml:space="preserve">The criteria for initiating incident recovery are applied</w:t>
            </w:r>
          </w:p>
        </w:tc>
        <w:tc>
          <w:tcPr/>
          <w:p>
            <w:pPr>
              <w:pStyle w:val="Compact"/>
            </w:pPr>
            <w:r>
              <w:t xml:space="preserve">Containment evidence informs recovery readiness</w:t>
            </w:r>
          </w:p>
        </w:tc>
      </w:tr>
    </w:tbl>
    <w:bookmarkEnd w:id="43"/>
    <w:bookmarkStart w:id="44" w:name="rsan--incident-analysis"/>
    <w:p>
      <w:pPr>
        <w:pStyle w:val="Heading3"/>
      </w:pPr>
      <w:r>
        <w:t xml:space="preserve">RS.AN — Incident Analysis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RS.AN-03</w:t>
            </w:r>
          </w:p>
        </w:tc>
        <w:tc>
          <w:tcPr/>
          <w:p>
            <w:pPr>
              <w:pStyle w:val="Compact"/>
            </w:pPr>
            <w:r>
              <w:t xml:space="preserve">Analysis is performed to establish what has taken place during an incident and the root cause</w:t>
            </w:r>
          </w:p>
        </w:tc>
        <w:tc>
          <w:tcPr/>
          <w:p>
            <w:pPr>
              <w:pStyle w:val="Compact"/>
            </w:pPr>
            <w:r>
              <w:t xml:space="preserve">Process + flow timeline reconstruction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RS.AN-06</w:t>
            </w:r>
          </w:p>
        </w:tc>
        <w:tc>
          <w:tcPr/>
          <w:p>
            <w:pPr>
              <w:pStyle w:val="Compact"/>
            </w:pPr>
            <w:r>
              <w:t xml:space="preserve">Actions performed during an investigation are recorded and the records' integrity and provenance are preserved</w:t>
            </w:r>
          </w:p>
        </w:tc>
        <w:tc>
          <w:tcPr/>
          <w:p>
            <w:pPr>
              <w:pStyle w:val="Compact"/>
            </w:pPr>
            <w:r>
              <w:t xml:space="preserve">CSW retains all queries and exports; SIEM hashing for chain-of-custody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RS.AN-07</w:t>
            </w:r>
          </w:p>
        </w:tc>
        <w:tc>
          <w:tcPr/>
          <w:p>
            <w:pPr>
              <w:pStyle w:val="Compact"/>
            </w:pPr>
            <w:r>
              <w:t xml:space="preserve">Incident data and metadata are collected and their integrity and provenance are preserved</w:t>
            </w:r>
          </w:p>
        </w:tc>
        <w:tc>
          <w:tcPr/>
          <w:p>
            <w:pPr>
              <w:pStyle w:val="Compact"/>
            </w:pPr>
            <w:r>
              <w:t xml:space="preserve">Six-artefact dossier with timestamped 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RS.AN-08</w:t>
            </w:r>
          </w:p>
        </w:tc>
        <w:tc>
          <w:tcPr/>
          <w:p>
            <w:pPr>
              <w:pStyle w:val="Compact"/>
            </w:pPr>
            <w:r>
              <w:t xml:space="preserve">An incident's magnitude is estimated and validated</w:t>
            </w:r>
          </w:p>
        </w:tc>
        <w:tc>
          <w:tcPr/>
          <w:p>
            <w:pPr>
              <w:pStyle w:val="Compact"/>
            </w:pPr>
            <w:r>
              <w:t xml:space="preserve">Reachability + scope membership inform magnitude</w:t>
            </w:r>
          </w:p>
        </w:tc>
      </w:tr>
    </w:tbl>
    <w:bookmarkEnd w:id="44"/>
    <w:bookmarkStart w:id="45" w:name="rsmi--incident-mitigation"/>
    <w:p>
      <w:pPr>
        <w:pStyle w:val="Heading3"/>
      </w:pPr>
      <w:r>
        <w:t xml:space="preserve">RS.MI — Incident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RS.MI-01</w:t>
            </w:r>
          </w:p>
        </w:tc>
        <w:tc>
          <w:tcPr/>
          <w:p>
            <w:pPr>
              <w:pStyle w:val="Compact"/>
            </w:pPr>
            <w:r>
              <w:t xml:space="preserve">Incidents are contained</w:t>
            </w:r>
          </w:p>
        </w:tc>
        <w:tc>
          <w:tcPr/>
          <w:p>
            <w:pPr>
              <w:pStyle w:val="Compact"/>
            </w:pPr>
            <w:r>
              <w:t xml:space="preserve">Quarantine policy applied per workload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RS.MI-02</w:t>
            </w:r>
          </w:p>
        </w:tc>
        <w:tc>
          <w:tcPr/>
          <w:p>
            <w:pPr>
              <w:pStyle w:val="Compact"/>
            </w:pPr>
            <w:r>
              <w:t xml:space="preserve">Incidents are eradicated</w:t>
            </w:r>
          </w:p>
        </w:tc>
        <w:tc>
          <w:tcPr/>
          <w:p>
            <w:pPr>
              <w:pStyle w:val="Compact"/>
            </w:pPr>
            <w:r>
              <w:t xml:space="preserve">Compensating-control register; sustained policy enforcement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CSW Implementation:</w:t>
      </w:r>
    </w:p>
    <w:p>
      <w:pPr>
        <w:pStyle w:val="SourceCode"/>
      </w:pPr>
      <w:r>
        <w:rPr>
          <w:rStyle w:val="VerbatimChar"/>
        </w:rPr>
        <w:t xml:space="preserve">Step 1: Standardise the six-artefact incident dossier template</w:t>
      </w:r>
      <w:r>
        <w:br/>
      </w:r>
      <w:r>
        <w:rPr>
          <w:rStyle w:val="VerbatimChar"/>
        </w:rPr>
        <w:t xml:space="preserve">Step 2: Pre-build quarantine policy templates per scope</w:t>
      </w:r>
      <w:r>
        <w:br/>
      </w:r>
      <w:r>
        <w:rPr>
          <w:rStyle w:val="VerbatimChar"/>
        </w:rPr>
        <w:t xml:space="preserve">Step 3: Train SOC analysts on CSW historical query workflow</w:t>
      </w:r>
      <w:r>
        <w:br/>
      </w:r>
      <w:r>
        <w:rPr>
          <w:rStyle w:val="VerbatimChar"/>
        </w:rPr>
        <w:t xml:space="preserve">Step 4: Wire CSW alerts into the IR ticketing system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X6bc25a2d1dc583610610323cbe3b65d12442c07"/>
    <w:p>
      <w:pPr>
        <w:pStyle w:val="Heading2"/>
      </w:pPr>
      <w:r>
        <w:t xml:space="preserve">10. Recover (RC) — Recovery Plan Execution, Communications</w:t>
      </w:r>
    </w:p>
    <w:p>
      <w:pPr>
        <w:pStyle w:val="FirstParagraph"/>
      </w:pPr>
      <w:r>
        <w:t xml:space="preserve">CSW is supporting in Recover. The primary controls are backups,</w:t>
      </w:r>
      <w:r>
        <w:t xml:space="preserve"> </w:t>
      </w:r>
      <w:r>
        <w:t xml:space="preserve">communications, and recovery-plan execution.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RC.RP-01</w:t>
            </w:r>
          </w:p>
        </w:tc>
        <w:tc>
          <w:tcPr/>
          <w:p>
            <w:pPr>
              <w:pStyle w:val="Compact"/>
            </w:pPr>
            <w:r>
              <w:t xml:space="preserve">The recovery portion of the incident response plan is executed once initiated from the incident response process</w:t>
            </w:r>
          </w:p>
        </w:tc>
        <w:tc>
          <w:tcPr/>
          <w:p>
            <w:pPr>
              <w:pStyle w:val="Compact"/>
            </w:pPr>
            <w:r>
              <w:t xml:space="preserve">Pre-incident segmentation export available for re-application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RC.RP-02</w:t>
            </w:r>
          </w:p>
        </w:tc>
        <w:tc>
          <w:tcPr/>
          <w:p>
            <w:pPr>
              <w:pStyle w:val="Compact"/>
            </w:pPr>
            <w:r>
              <w:t xml:space="preserve">Recovery actions are selected, scoped, prioritised, and performed</w:t>
            </w:r>
          </w:p>
        </w:tc>
        <w:tc>
          <w:tcPr/>
          <w:p>
            <w:pPr>
              <w:pStyle w:val="Compact"/>
            </w:pPr>
            <w:r>
              <w:t xml:space="preserve">(Out of scope — recovery action selection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RC.RP-03</w:t>
            </w:r>
          </w:p>
        </w:tc>
        <w:tc>
          <w:tcPr/>
          <w:p>
            <w:pPr>
              <w:pStyle w:val="Compact"/>
            </w:pPr>
            <w:r>
              <w:t xml:space="preserve">The integrity of backups and other restoration assets is verified before using them for restoration</w:t>
            </w:r>
          </w:p>
        </w:tc>
        <w:tc>
          <w:tcPr/>
          <w:p>
            <w:pPr>
              <w:pStyle w:val="Compact"/>
            </w:pPr>
            <w:r>
              <w:t xml:space="preserve">(Out of scope — backup integrity is upstream)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RC.RP-04</w:t>
            </w:r>
          </w:p>
        </w:tc>
        <w:tc>
          <w:tcPr/>
          <w:p>
            <w:pPr>
              <w:pStyle w:val="Compact"/>
            </w:pPr>
            <w:r>
              <w:t xml:space="preserve">Critical mission functions and cybersecurity risk management are considered to establish post-incident operational norms</w:t>
            </w:r>
          </w:p>
        </w:tc>
        <w:tc>
          <w:tcPr/>
          <w:p>
            <w:pPr>
              <w:pStyle w:val="Compact"/>
            </w:pPr>
            <w:r>
              <w:t xml:space="preserve">Post-recovery segmentation diff = evidence of new 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RC.RP-05</w:t>
            </w:r>
          </w:p>
        </w:tc>
        <w:tc>
          <w:tcPr/>
          <w:p>
            <w:pPr>
              <w:pStyle w:val="Compact"/>
            </w:pPr>
            <w:r>
              <w:t xml:space="preserve">The integrity of restored assets is verified, systems and services are restored, and normal operating status is confirmed</w:t>
            </w:r>
          </w:p>
        </w:tc>
        <w:tc>
          <w:tcPr/>
          <w:p>
            <w:pPr>
              <w:pStyle w:val="Compact"/>
            </w:pPr>
            <w:r>
              <w:t xml:space="preserve">CSW re-baseline after recovery shows package + listening-port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RC.RP-06</w:t>
            </w:r>
          </w:p>
        </w:tc>
        <w:tc>
          <w:tcPr/>
          <w:p>
            <w:pPr>
              <w:pStyle w:val="Compact"/>
            </w:pPr>
            <w:r>
              <w:t xml:space="preserve">The end of incident recovery is declared based on criteria, and incident-related documentation is completed</w:t>
            </w:r>
          </w:p>
        </w:tc>
        <w:tc>
          <w:tcPr/>
          <w:p>
            <w:pPr>
              <w:pStyle w:val="Compact"/>
            </w:pPr>
            <w:r>
              <w:t xml:space="preserve">Final dossier inclusion of post-recovery diff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Xc2048862773ce2ef68008af8c80f7ed5c8a1e2c"/>
    <w:p>
      <w:pPr>
        <w:pStyle w:val="Heading2"/>
      </w:pPr>
      <w:r>
        <w:t xml:space="preserve">11. Mapping Table — CSF 2.0 Subcategory → CSW Capability</w:t>
      </w:r>
    </w:p>
    <w:p>
      <w:pPr>
        <w:pStyle w:val="FirstParagraph"/>
      </w:pPr>
      <w:r>
        <w:t xml:space="preserve">(Consolidated from sections 5–10)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Subcategory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CSW capability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GV.OV-01/02/03</w:t>
            </w:r>
          </w:p>
        </w:tc>
        <w:tc>
          <w:tcPr/>
          <w:p>
            <w:pPr>
              <w:pStyle w:val="Compact"/>
            </w:pPr>
            <w:r>
              <w:t xml:space="preserve">Oversight</w:t>
            </w:r>
          </w:p>
        </w:tc>
        <w:tc>
          <w:tcPr/>
          <w:p>
            <w:pPr>
              <w:pStyle w:val="Compact"/>
            </w:pPr>
            <w:r>
              <w:t xml:space="preserve">Quarterly evidence pack to management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GV.SC-04/07/09/10</w:t>
            </w:r>
          </w:p>
        </w:tc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Vendor-egress observation + reconciliation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ID.AM-01 to 08</w:t>
            </w:r>
          </w:p>
        </w:tc>
        <w:tc>
          <w:tcPr/>
          <w:p>
            <w:pPr>
              <w:pStyle w:val="Compact"/>
            </w:pPr>
            <w:r>
              <w:t xml:space="preserve">Asset management</w:t>
            </w:r>
          </w:p>
        </w:tc>
        <w:tc>
          <w:tcPr/>
          <w:p>
            <w:pPr>
              <w:pStyle w:val="Compact"/>
            </w:pPr>
            <w:r>
              <w:t xml:space="preserve">Continuous inventory + ADM + EOL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ID.RA-01/05/06/07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  <w:tc>
          <w:tcPr/>
          <w:p>
            <w:pPr>
              <w:pStyle w:val="Compact"/>
            </w:pPr>
            <w:r>
              <w:t xml:space="preserve">CVE inventory + reachability +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PR.AA-01/05</w:t>
            </w:r>
          </w:p>
        </w:tc>
        <w:tc>
          <w:tcPr/>
          <w:p>
            <w:pPr>
              <w:pStyle w:val="Compact"/>
            </w:pPr>
            <w:r>
              <w:t xml:space="preserve">Identity &amp; access</w:t>
            </w:r>
          </w:p>
        </w:tc>
        <w:tc>
          <w:tcPr/>
          <w:p>
            <w:pPr>
              <w:pStyle w:val="Compact"/>
            </w:pPr>
            <w:r>
              <w:t xml:space="preserve">Workload-side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PR.DS-02</w:t>
            </w:r>
          </w:p>
        </w:tc>
        <w:tc>
          <w:tcPr/>
          <w:p>
            <w:pPr>
              <w:pStyle w:val="Compact"/>
            </w:pPr>
            <w:r>
              <w:t xml:space="preserve">Data-in-transit</w:t>
            </w:r>
          </w:p>
        </w:tc>
        <w:tc>
          <w:tcPr/>
          <w:p>
            <w:pPr>
              <w:pStyle w:val="Compact"/>
            </w:pPr>
            <w:r>
              <w:t xml:space="preserve">Plaintext DENY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PR.IR-01/03</w:t>
            </w:r>
          </w:p>
        </w:tc>
        <w:tc>
          <w:tcPr/>
          <w:p>
            <w:pPr>
              <w:pStyle w:val="Compact"/>
            </w:pPr>
            <w:r>
              <w:t xml:space="preserve">Infrastructure resilience</w:t>
            </w:r>
          </w:p>
        </w:tc>
        <w:tc>
          <w:tcPr/>
          <w:p>
            <w:pPr>
              <w:pStyle w:val="Compact"/>
            </w:pPr>
            <w:r>
              <w:t xml:space="preserve">Segmentation enforcement; quarantine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PR.PS-01 to 06</w:t>
            </w:r>
          </w:p>
        </w:tc>
        <w:tc>
          <w:tcPr/>
          <w:p>
            <w:pPr>
              <w:pStyle w:val="Compact"/>
            </w:pPr>
            <w:r>
              <w:t xml:space="preserve">Platform security</w:t>
            </w:r>
          </w:p>
        </w:tc>
        <w:tc>
          <w:tcPr/>
          <w:p>
            <w:pPr>
              <w:pStyle w:val="Compact"/>
            </w:pPr>
            <w:r>
              <w:t xml:space="preserve">Baseline + drift + EOL + SIEM + behavioural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DE.CM-01/03/06/09</w:t>
            </w:r>
          </w:p>
        </w:tc>
        <w:tc>
          <w:tcPr/>
          <w:p>
            <w:pPr>
              <w:pStyle w:val="Compact"/>
            </w:pPr>
            <w:r>
              <w:t xml:space="preserve">Continuous monitoring</w:t>
            </w:r>
          </w:p>
        </w:tc>
        <w:tc>
          <w:tcPr/>
          <w:p>
            <w:pPr>
              <w:pStyle w:val="Compact"/>
            </w:pPr>
            <w:r>
              <w:t xml:space="preserve">Workload telemetry + behavioural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DE.AE-02/03/04/06/07/08</w:t>
            </w:r>
          </w:p>
        </w:tc>
        <w:tc>
          <w:tcPr/>
          <w:p>
            <w:pPr>
              <w:pStyle w:val="Compact"/>
            </w:pPr>
            <w:r>
              <w:t xml:space="preserve">Adverse event analysis</w:t>
            </w:r>
          </w:p>
        </w:tc>
        <w:tc>
          <w:tcPr/>
          <w:p>
            <w:pPr>
              <w:pStyle w:val="Compact"/>
            </w:pPr>
            <w:r>
              <w:t xml:space="preserve">Forensic timeline + SIEM correlation + threat intel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RS.MA-01 to 05</w:t>
            </w:r>
          </w:p>
        </w:tc>
        <w:tc>
          <w:tcPr/>
          <w:p>
            <w:pPr>
              <w:pStyle w:val="Compact"/>
            </w:pPr>
            <w:r>
              <w:t xml:space="preserve">Incident management</w:t>
            </w:r>
          </w:p>
        </w:tc>
        <w:tc>
          <w:tcPr/>
          <w:p>
            <w:pPr>
              <w:pStyle w:val="Compact"/>
            </w:pPr>
            <w:r>
              <w:t xml:space="preserve">Six-artefact dossier + severity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RS.AN-03/06/07/08</w:t>
            </w:r>
          </w:p>
        </w:tc>
        <w:tc>
          <w:tcPr/>
          <w:p>
            <w:pPr>
              <w:pStyle w:val="Compact"/>
            </w:pPr>
            <w:r>
              <w:t xml:space="preserve">Incident analysis</w:t>
            </w:r>
          </w:p>
        </w:tc>
        <w:tc>
          <w:tcPr/>
          <w:p>
            <w:pPr>
              <w:pStyle w:val="Compact"/>
            </w:pPr>
            <w:r>
              <w:t xml:space="preserve">Process + flow timeline + magnitude estimate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RS.MI-01/02</w:t>
            </w:r>
          </w:p>
        </w:tc>
        <w:tc>
          <w:tcPr/>
          <w:p>
            <w:pPr>
              <w:pStyle w:val="Compact"/>
            </w:pPr>
            <w:r>
              <w:t xml:space="preserve">Incident mitigation</w:t>
            </w:r>
          </w:p>
        </w:tc>
        <w:tc>
          <w:tcPr/>
          <w:p>
            <w:pPr>
              <w:pStyle w:val="Compact"/>
            </w:pPr>
            <w:r>
              <w:t xml:space="preserve">Quarantine policy + compensating controls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RC.RP-04/05/06</w:t>
            </w:r>
          </w:p>
        </w:tc>
        <w:tc>
          <w:tcPr/>
          <w:p>
            <w:pPr>
              <w:pStyle w:val="Compact"/>
            </w:pPr>
            <w:r>
              <w:t xml:space="preserve">Recovery actions (evidence)</w:t>
            </w:r>
          </w:p>
        </w:tc>
        <w:tc>
          <w:tcPr/>
          <w:p>
            <w:pPr>
              <w:pStyle w:val="Compact"/>
            </w:pPr>
            <w:r>
              <w:t xml:space="preserve">Post-recovery segmentation diff + re-baseline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0eaee8032907ffed24b7130868eb9d36cdb7838"/>
    <w:p>
      <w:pPr>
        <w:pStyle w:val="Heading2"/>
      </w:pPr>
      <w:r>
        <w:t xml:space="preserve">12. Auditor / Assessor Response Guide</w:t>
      </w:r>
    </w:p>
    <w:p>
      <w:pPr>
        <w:pStyle w:val="FirstParagraph"/>
      </w:pPr>
      <w:r>
        <w:t xml:space="preserve">When a CSF assessment asks for evidence: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Assessor asks</w:t>
            </w:r>
          </w:p>
        </w:tc>
        <w:tc>
          <w:tcPr/>
          <w:p>
            <w:pPr>
              <w:pStyle w:val="Compact"/>
            </w:pPr>
            <w:r>
              <w:t xml:space="preserve">You provide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your CSF Profile and current Tier evidence"</w:t>
            </w:r>
          </w:p>
        </w:tc>
        <w:tc>
          <w:tcPr/>
          <w:p>
            <w:pPr>
              <w:pStyle w:val="Compact"/>
            </w:pPr>
            <w:r>
              <w:t xml:space="preserve">Quarterly evidence pack + Profile-aligned scope 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ID.AM-01/02/03 asset &amp; flow inventory"</w:t>
            </w:r>
          </w:p>
        </w:tc>
        <w:tc>
          <w:tcPr/>
          <w:p>
            <w:pPr>
              <w:pStyle w:val="Compact"/>
            </w:pPr>
            <w:r>
              <w:t xml:space="preserve">Inventory CSV + ADM dependency graph per crit_band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ID.RA-01/05/06 vulnerability evidence"</w:t>
            </w:r>
          </w:p>
        </w:tc>
        <w:tc>
          <w:tcPr/>
          <w:p>
            <w:pPr>
              <w:pStyle w:val="Compact"/>
            </w:pPr>
            <w:r>
              <w:t xml:space="preserve">CVE list per workload + reachability scoring + remediation tracking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PR.IR-01 network protection"</w:t>
            </w:r>
          </w:p>
        </w:tc>
        <w:tc>
          <w:tcPr/>
          <w:p>
            <w:pPr>
              <w:pStyle w:val="Compact"/>
            </w:pPr>
            <w:r>
              <w:t xml:space="preserve">Workspace export + simulation→enforcement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"Demonstrate PR.PS-01 configuration management"</w:t>
            </w:r>
          </w:p>
        </w:tc>
        <w:tc>
          <w:tcPr/>
          <w:p>
            <w:pPr>
              <w:pStyle w:val="Compact"/>
            </w:pPr>
            <w:r>
              <w:t xml:space="preserve">Daily baseline + drift report tied to change ticket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DE.CM-09 continuous monitoring evidence"</w:t>
            </w:r>
          </w:p>
        </w:tc>
        <w:tc>
          <w:tcPr/>
          <w:p>
            <w:pPr>
              <w:pStyle w:val="Compact"/>
            </w:pPr>
            <w:r>
              <w:t xml:space="preserve">Per-workload process + package + flow telemetry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"Show RS.AN-03 incident analysis"</w:t>
            </w:r>
          </w:p>
        </w:tc>
        <w:tc>
          <w:tcPr/>
          <w:p>
            <w:pPr>
              <w:pStyle w:val="Compact"/>
            </w:pPr>
            <w:r>
              <w:t xml:space="preserve">Six-artefact dossier per declared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"Provide GV.SC-07 supplier monitoring evidence"</w:t>
            </w:r>
          </w:p>
        </w:tc>
        <w:tc>
          <w:tcPr/>
          <w:p>
            <w:pPr>
              <w:pStyle w:val="Compact"/>
            </w:pPr>
            <w:r>
              <w:t xml:space="preserve">Vendor-egress drift report + reconciliation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7" w:name="Xaac4b8439b2e394a10e51f33ec42930ec3f5bcf"/>
    <w:p>
      <w:pPr>
        <w:pStyle w:val="Heading2"/>
      </w:pPr>
      <w:r>
        <w:t xml:space="preserve">13. Related Frameworks</w:t>
      </w:r>
    </w:p>
    <w:p>
      <w:pPr>
        <w:pStyle w:val="FirstParagraph"/>
      </w:pPr>
      <w:r>
        <w:t xml:space="preserve">CSF 2.0 wraps and references many control catalogues. Key</w:t>
      </w:r>
      <w:r>
        <w:t xml:space="preserve"> </w:t>
      </w:r>
      <w:r>
        <w:t xml:space="preserve">cross-references in this repository: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SP 800-53 Rev 5</w:t>
      </w:r>
      <w:r>
        <w:t xml:space="preserve"> </w:t>
      </w:r>
      <w:r>
        <w:t xml:space="preserve">— the most common Informative Reference</w:t>
      </w:r>
      <w:r>
        <w:t xml:space="preserve"> </w:t>
      </w:r>
      <w:r>
        <w:t xml:space="preserve">source under CSF 2.0 Subcategories. Many</w:t>
      </w:r>
      <w:r>
        <w:t xml:space="preserve"> </w:t>
      </w:r>
      <w:r>
        <w:rPr>
          <w:rStyle w:val="VerbatimChar"/>
        </w:rPr>
        <w:t xml:space="preserve">PR.PS</w:t>
      </w:r>
      <w:r>
        <w:t xml:space="preserve">,</w:t>
      </w:r>
      <w:r>
        <w:t xml:space="preserve"> </w:t>
      </w:r>
      <w:r>
        <w:rPr>
          <w:rStyle w:val="VerbatimChar"/>
        </w:rPr>
        <w:t xml:space="preserve">PR.IR</w:t>
      </w:r>
      <w:r>
        <w:t xml:space="preserve">,</w:t>
      </w:r>
      <w:r>
        <w:t xml:space="preserve"> </w:t>
      </w:r>
      <w:r>
        <w:rPr>
          <w:rStyle w:val="VerbatimChar"/>
        </w:rPr>
        <w:t xml:space="preserve">DE.CM</w:t>
      </w:r>
      <w:r>
        <w:t xml:space="preserve"> </w:t>
      </w:r>
      <w:r>
        <w:t xml:space="preserve">Subcategories cite specific 800-53 controls. See</w:t>
      </w:r>
      <w:r>
        <w:t xml:space="preserve"> </w:t>
      </w:r>
      <w:hyperlink r:id="rId50">
        <w:r>
          <w:rPr>
            <w:rStyle w:val="Hyperlink"/>
          </w:rPr>
          <w:t xml:space="preserve">800-53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NIST SP 800-207 (Zero Trust Architecture)</w:t>
      </w:r>
      <w:r>
        <w:t xml:space="preserve"> </w:t>
      </w:r>
      <w:r>
        <w:t xml:space="preserve">— the seven ZTA</w:t>
      </w:r>
      <w:r>
        <w:t xml:space="preserve"> </w:t>
      </w:r>
      <w:r>
        <w:t xml:space="preserve">tenets implement many</w:t>
      </w:r>
      <w:r>
        <w:t xml:space="preserve"> </w:t>
      </w:r>
      <w:r>
        <w:rPr>
          <w:rStyle w:val="VerbatimChar"/>
        </w:rPr>
        <w:t xml:space="preserve">PR.AA</w:t>
      </w:r>
      <w:r>
        <w:t xml:space="preserve">,</w:t>
      </w:r>
      <w:r>
        <w:t xml:space="preserve"> </w:t>
      </w:r>
      <w:r>
        <w:rPr>
          <w:rStyle w:val="VerbatimChar"/>
        </w:rPr>
        <w:t xml:space="preserve">PR.IR</w:t>
      </w:r>
      <w:r>
        <w:t xml:space="preserve">,</w:t>
      </w:r>
      <w:r>
        <w:t xml:space="preserve"> </w:t>
      </w:r>
      <w:r>
        <w:rPr>
          <w:rStyle w:val="VerbatimChar"/>
        </w:rPr>
        <w:t xml:space="preserve">DE.CM</w:t>
      </w:r>
      <w:r>
        <w:t xml:space="preserve"> </w:t>
      </w:r>
      <w:r>
        <w:t xml:space="preserve">outcomes. See</w:t>
      </w:r>
      <w:r>
        <w:t xml:space="preserve"> </w:t>
      </w:r>
      <w:hyperlink r:id="rId51">
        <w:r>
          <w:rPr>
            <w:rStyle w:val="Hyperlink"/>
          </w:rPr>
          <w:t xml:space="preserve">800-207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CIS Critical Security Controls v8.1</w:t>
      </w:r>
      <w:r>
        <w:t xml:space="preserve"> </w:t>
      </w:r>
      <w:r>
        <w:t xml:space="preserve">— common Informative</w:t>
      </w:r>
      <w:r>
        <w:t xml:space="preserve"> </w:t>
      </w:r>
      <w:r>
        <w:t xml:space="preserve">Reference; CIS Safeguard 4.1 ↔ PR.PS-01, 13.x ↔ DE.CM-01, etc.</w:t>
      </w:r>
      <w:r>
        <w:t xml:space="preserve"> </w:t>
      </w:r>
      <w:r>
        <w:t xml:space="preserve">See</w:t>
      </w:r>
      <w:r>
        <w:t xml:space="preserve"> </w:t>
      </w:r>
      <w:hyperlink r:id="rId52">
        <w:r>
          <w:rPr>
            <w:rStyle w:val="Hyperlink"/>
          </w:rPr>
          <w:t xml:space="preserve">CIS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CMMC 2.0</w:t>
      </w:r>
      <w:r>
        <w:t xml:space="preserve"> </w:t>
      </w:r>
      <w:r>
        <w:t xml:space="preserve">— Level 2 ≈ NIST 800-171 ≈ subset of 800-53,</w:t>
      </w:r>
      <w:r>
        <w:t xml:space="preserve"> </w:t>
      </w:r>
      <w:r>
        <w:t xml:space="preserve">which is in turn cited under CSF Subcategories. See</w:t>
      </w:r>
      <w:r>
        <w:t xml:space="preserve"> </w:t>
      </w:r>
      <w:hyperlink r:id="rId53">
        <w:r>
          <w:rPr>
            <w:rStyle w:val="Hyperlink"/>
          </w:rPr>
          <w:t xml:space="preserve">CMMC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ISO/IEC 27001:2022</w:t>
      </w:r>
      <w:r>
        <w:t xml:space="preserve"> </w:t>
      </w:r>
      <w:r>
        <w:t xml:space="preserve">— Annex A controls cited as Informative</w:t>
      </w:r>
      <w:r>
        <w:t xml:space="preserve"> </w:t>
      </w:r>
      <w:r>
        <w:t xml:space="preserve">References under many CSF Subcategories. See</w:t>
      </w:r>
      <w:r>
        <w:t xml:space="preserve"> </w:t>
      </w:r>
      <w:hyperlink r:id="rId54">
        <w:r>
          <w:rPr>
            <w:rStyle w:val="Hyperlink"/>
          </w:rPr>
          <w:t xml:space="preserve">ISO 27001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CISA Zero Trust Maturity Model</w:t>
      </w:r>
      <w:r>
        <w:t xml:space="preserve"> </w:t>
      </w:r>
      <w:r>
        <w:t xml:space="preserve">— sector-government overlay</w:t>
      </w:r>
      <w:r>
        <w:t xml:space="preserve"> </w:t>
      </w:r>
      <w:r>
        <w:t xml:space="preserve">that aligns with CSF 2.0 outcomes. See</w:t>
      </w:r>
      <w:r>
        <w:t xml:space="preserve"> </w:t>
      </w:r>
      <w:hyperlink r:id="rId55">
        <w:r>
          <w:rPr>
            <w:rStyle w:val="Hyperlink"/>
          </w:rPr>
          <w:t xml:space="preserve">CISA ZTMM reference design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UK NCSC CAF v3.2</w:t>
      </w:r>
      <w:r>
        <w:t xml:space="preserve"> </w:t>
      </w:r>
      <w:r>
        <w:t xml:space="preserve">— CSF outcomes are the reuse language for CAF A–D (see</w:t>
      </w:r>
      <w:r>
        <w:t xml:space="preserve"> </w:t>
      </w:r>
      <w:hyperlink r:id="rId56">
        <w:r>
          <w:rPr>
            <w:rStyle w:val="Hyperlink"/>
          </w:rPr>
          <w:t xml:space="preserve">CAF crosswalk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57"/>
    <w:bookmarkStart w:id="59" w:name="X6d39dee548fe562094e426737d693407d1c0f0f"/>
    <w:p>
      <w:pPr>
        <w:pStyle w:val="Heading2"/>
      </w:pPr>
      <w:r>
        <w:t xml:space="preserve">14. Disclaimer</w:t>
      </w:r>
    </w:p>
    <w:p>
      <w:pPr>
        <w:pStyle w:val="FirstParagraph"/>
      </w:pPr>
      <w:r>
        <w:t xml:space="preserve">This reference design is</w:t>
      </w:r>
      <w:r>
        <w:t xml:space="preserve"> </w:t>
      </w:r>
      <w:r>
        <w:rPr>
          <w:b/>
          <w:bCs/>
        </w:rPr>
        <w:t xml:space="preserve">draft v1</w:t>
      </w:r>
      <w:r>
        <w:t xml:space="preserve"> </w:t>
      </w:r>
      <w:r>
        <w:t xml:space="preserve">describing how Cisco Secure Workload</w:t>
      </w:r>
      <w:r>
        <w:t xml:space="preserve"> </w:t>
      </w:r>
      <w:r>
        <w:t xml:space="preserve">capabilities can support a NIST Cybersecurity Framework 2.0</w:t>
      </w:r>
      <w:r>
        <w:t xml:space="preserve"> </w:t>
      </w:r>
      <w:r>
        <w:t xml:space="preserve">programme.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legal or compliance advice and does not</w:t>
      </w:r>
      <w:r>
        <w:t xml:space="preserve"> </w:t>
      </w:r>
      <w:r>
        <w:t xml:space="preserve">constitute a finding of compliance.</w:t>
      </w:r>
    </w:p>
    <w:p>
      <w:pPr>
        <w:pStyle w:val="BodyText"/>
      </w:pPr>
      <w:r>
        <w:t xml:space="preserve">Specifically:</w:t>
      </w:r>
    </w:p>
    <w:p>
      <w:pPr>
        <w:pStyle w:val="Compact"/>
        <w:numPr>
          <w:ilvl w:val="0"/>
          <w:numId w:val="1020"/>
        </w:numPr>
      </w:pPr>
      <w:r>
        <w:t xml:space="preserve">NIST publishes the authoritative CSF 2.0 text and Subcategory list</w:t>
      </w:r>
      <w:r>
        <w:t xml:space="preserve"> </w:t>
      </w:r>
      <w:r>
        <w:t xml:space="preserve">at</w:t>
      </w:r>
      <w:r>
        <w:t xml:space="preserve"> </w:t>
      </w:r>
      <w:hyperlink r:id="rId58">
        <w:r>
          <w:rPr>
            <w:rStyle w:val="Hyperlink"/>
          </w:rPr>
          <w:t xml:space="preserve">https://www.nist.gov/cyberframework</w:t>
        </w:r>
      </w:hyperlink>
      <w:r>
        <w:t xml:space="preserve">. Always validate against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current effective version</w:t>
      </w:r>
      <w:r>
        <w:t xml:space="preserve"> </w:t>
      </w:r>
      <w:r>
        <w:t xml:space="preserve">of CSF, including any released</w:t>
      </w:r>
      <w:r>
        <w:t xml:space="preserve"> </w:t>
      </w:r>
      <w:r>
        <w:t xml:space="preserve">Quick-Start Guides, Profiles, and Implementation Examples.</w:t>
      </w:r>
    </w:p>
    <w:p>
      <w:pPr>
        <w:pStyle w:val="Compact"/>
        <w:numPr>
          <w:ilvl w:val="0"/>
          <w:numId w:val="1020"/>
        </w:numPr>
      </w:pPr>
      <w:r>
        <w:t xml:space="preserve">CSF 2.0 is an outcomes framework and does not prescribe specific</w:t>
      </w:r>
      <w:r>
        <w:t xml:space="preserve"> </w:t>
      </w:r>
      <w:r>
        <w:t xml:space="preserve">controls. Mapping a CSW capability to a Subcategory does not by</w:t>
      </w:r>
      <w:r>
        <w:t xml:space="preserve"> </w:t>
      </w:r>
      <w:r>
        <w:t xml:space="preserve">itself satisfy the Subcategory — the organisation's Profile,</w:t>
      </w:r>
      <w:r>
        <w:t xml:space="preserve"> </w:t>
      </w:r>
      <w:r>
        <w:t xml:space="preserve">Tier, and accompanying control set determine the depth of work</w:t>
      </w:r>
      <w:r>
        <w:t xml:space="preserve"> </w:t>
      </w:r>
      <w:r>
        <w:t xml:space="preserve">expected.</w:t>
      </w:r>
    </w:p>
    <w:p>
      <w:pPr>
        <w:pStyle w:val="Compact"/>
        <w:numPr>
          <w:ilvl w:val="0"/>
          <w:numId w:val="1020"/>
        </w:numPr>
      </w:pPr>
      <w:r>
        <w:t xml:space="preserve">CSW does not address physical/environmental Subcategories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PR.IR-02</w:t>
      </w:r>
      <w:r>
        <w:t xml:space="preserve">,</w:t>
      </w:r>
      <w:r>
        <w:t xml:space="preserve"> </w:t>
      </w:r>
      <w:r>
        <w:rPr>
          <w:rStyle w:val="VerbatimChar"/>
        </w:rPr>
        <w:t xml:space="preserve">DE.CM-02</w:t>
      </w:r>
      <w:r>
        <w:t xml:space="preserve">), backup/recovery Subcategories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RC.RP-02/03</w:t>
      </w:r>
      <w:r>
        <w:t xml:space="preserve">), or training/HR-style Subcategories. Reference</w:t>
      </w:r>
      <w:r>
        <w:t xml:space="preserve"> </w:t>
      </w:r>
      <w:r>
        <w:t xml:space="preserve">the appropriate parts of your programme for those.</w:t>
      </w:r>
    </w:p>
    <w:p>
      <w:pPr>
        <w:pStyle w:val="FirstParagraph"/>
      </w:pPr>
      <w:r>
        <w:t xml:space="preserve">This document should receive subject-matter-expert review for both</w:t>
      </w:r>
      <w:r>
        <w:t xml:space="preserve"> </w:t>
      </w:r>
      <w:r>
        <w:t xml:space="preserve">CSF 2.0 currency and current Cisco product capability before being</w:t>
      </w:r>
      <w:r>
        <w:t xml:space="preserve"> </w:t>
      </w:r>
      <w:r>
        <w:t xml:space="preserve">relied upon in a formal compliance engagement.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2" Target="../CIS-Controls-v8/CSW-CIS-Reference-Design.md" TargetMode="External" /><Relationship Type="http://schemas.openxmlformats.org/officeDocument/2006/relationships/hyperlink" Id="rId55" Target="../CISA-ZeroTrust/CSW-CISA-ZTMM-Reference-Design.md" TargetMode="External" /><Relationship Type="http://schemas.openxmlformats.org/officeDocument/2006/relationships/hyperlink" Id="rId53" Target="../CMMC-2/CSW-CMMC-Reference-Design.md" TargetMode="External" /><Relationship Type="http://schemas.openxmlformats.org/officeDocument/2006/relationships/hyperlink" Id="rId54" Target="../ISO-27001-2022/CSW-ISO27001-Reference-Design.md" TargetMode="External" /><Relationship Type="http://schemas.openxmlformats.org/officeDocument/2006/relationships/hyperlink" Id="rId51" Target="../NIST-800-207/CSW-NIST-800-207-Reference-Design.md" TargetMode="External" /><Relationship Type="http://schemas.openxmlformats.org/officeDocument/2006/relationships/hyperlink" Id="rId50" Target="../NIST-800-53/CSW-NIST-800-53-Reference-Design.md" TargetMode="External" /><Relationship Type="http://schemas.openxmlformats.org/officeDocument/2006/relationships/hyperlink" Id="rId56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58" Target="https://www.nist.gov/cyberframewor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2" Target="../CIS-Controls-v8/CSW-CIS-Reference-Design.md" TargetMode="External" /><Relationship Type="http://schemas.openxmlformats.org/officeDocument/2006/relationships/hyperlink" Id="rId55" Target="../CISA-ZeroTrust/CSW-CISA-ZTMM-Reference-Design.md" TargetMode="External" /><Relationship Type="http://schemas.openxmlformats.org/officeDocument/2006/relationships/hyperlink" Id="rId53" Target="../CMMC-2/CSW-CMMC-Reference-Design.md" TargetMode="External" /><Relationship Type="http://schemas.openxmlformats.org/officeDocument/2006/relationships/hyperlink" Id="rId54" Target="../ISO-27001-2022/CSW-ISO27001-Reference-Design.md" TargetMode="External" /><Relationship Type="http://schemas.openxmlformats.org/officeDocument/2006/relationships/hyperlink" Id="rId51" Target="../NIST-800-207/CSW-NIST-800-207-Reference-Design.md" TargetMode="External" /><Relationship Type="http://schemas.openxmlformats.org/officeDocument/2006/relationships/hyperlink" Id="rId50" Target="../NIST-800-53/CSW-NIST-800-53-Reference-Design.md" TargetMode="External" /><Relationship Type="http://schemas.openxmlformats.org/officeDocument/2006/relationships/hyperlink" Id="rId56" Target="../UK-NCSC-CAF/caf-mapping.md" TargetMode="External" /><Relationship Type="http://schemas.openxmlformats.org/officeDocument/2006/relationships/hyperlink" Id="rId12" Target="../docs/about-csw.md" TargetMode="External" /><Relationship Type="http://schemas.openxmlformats.org/officeDocument/2006/relationships/hyperlink" Id="rId11" Target="../docs/compliance-evidence-playbook.md" TargetMode="External" /><Relationship Type="http://schemas.openxmlformats.org/officeDocument/2006/relationships/hyperlink" Id="rId58" Target="https://www.nist.gov/cyberframewor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2026-10-22T19:33:36Z</dcterms:created>
  <dcterms:modified xsi:type="dcterms:W3CDTF">2026-10-22T19:33:36Z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