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CSW + Cisco Secure Firewall Integration Guide</w:t>
      </w:r>
    </w:p>
    <w:p>
      <w:pPr>
        <w:pStyle w:val="Subtitle"/>
      </w:pPr>
      <w:r>
        <w:t xml:space="preserve">NetFlow (NSEL) visibility and FMC policy enforcement — step by step</w:t>
      </w:r>
    </w:p>
    <w:p>
      <w:pPr>
        <w:pStyle w:val="Author"/>
      </w:pPr>
      <w:r>
        <w:t xml:space="preserve">Cisco Secure Workload User Education</w:t>
      </w:r>
    </w:p>
    <w:p>
      <w:pPr>
        <w:pStyle w:val="Date"/>
      </w:pPr>
      <w:r>
        <w:t xml:space="preserve">2026-05-27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149ba89142111ffb80df8bb8d6a9b02795786ca"/>
    <w:p>
      <w:pPr>
        <w:pStyle w:val="Heading1"/>
      </w:pPr>
      <w:r>
        <w:t xml:space="preserve">Cisco Secure Workload + Cisco Secure Firewall</w:t>
      </w:r>
    </w:p>
    <w:p>
      <w:pPr>
        <w:pStyle w:val="FirstParagraph"/>
      </w:pPr>
      <w:r>
        <w:rPr>
          <w:b/>
          <w:bCs/>
        </w:rPr>
        <w:t xml:space="preserve">NetFlow (NSEL) ingestion and policy enforcement on the firewall</w:t>
      </w:r>
    </w:p>
    <w:p>
      <w:pPr>
        <w:pStyle w:val="Block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Companion learning material — not official Cisco product documentation. Validate design, supported versions, and limits against your tenant and</w:t>
      </w:r>
      <w:r>
        <w:t xml:space="preserve"> </w:t>
      </w:r>
      <w:hyperlink r:id="rId9">
        <w:r>
          <w:rPr>
            <w:rStyle w:val="Hyperlink"/>
          </w:rPr>
          <w:t xml:space="preserve">Cisco Secure Workload 4.0 connector documentation</w:t>
        </w:r>
      </w:hyperlink>
      <w:r>
        <w:t xml:space="preserve"> </w:t>
      </w:r>
      <w:r>
        <w:t xml:space="preserve">before production.</w:t>
      </w:r>
    </w:p>
    <w:p>
      <w:r>
        <w:pict>
          <v:rect style="width:0;height:1.5pt" o:hralign="center" o:hrstd="t" o:hr="t"/>
        </w:pict>
      </w:r>
    </w:p>
    <w:bookmarkStart w:id="11" w:name="what-this-integration-does"/>
    <w:p>
      <w:pPr>
        <w:pStyle w:val="Heading2"/>
      </w:pPr>
      <w:r>
        <w:t xml:space="preserve">What this integration does</w:t>
      </w:r>
    </w:p>
    <w:p>
      <w:pPr>
        <w:pStyle w:val="FirstParagraph"/>
      </w:pPr>
      <w:r>
        <w:t xml:space="preserve">Cisco Secure Workload (CSW) and Cisco Secure Firewall work together for</w:t>
      </w:r>
      <w:r>
        <w:t xml:space="preserve"> </w:t>
      </w:r>
      <w:r>
        <w:rPr>
          <w:b/>
          <w:bCs/>
        </w:rPr>
        <w:t xml:space="preserve">agentless east-west segmentation</w:t>
      </w:r>
      <w:r>
        <w:t xml:space="preserve"> </w:t>
      </w:r>
      <w:r>
        <w:t xml:space="preserve">where host agents are not feasible, or where you want</w:t>
      </w:r>
      <w:r>
        <w:t xml:space="preserve"> </w:t>
      </w:r>
      <w:r>
        <w:rPr>
          <w:b/>
          <w:bCs/>
        </w:rPr>
        <w:t xml:space="preserve">network enforcement</w:t>
      </w:r>
      <w:r>
        <w:t xml:space="preserve"> </w:t>
      </w:r>
      <w:r>
        <w:t xml:space="preserve">in addition to host agents.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separate integrations</w:t>
      </w:r>
      <w:r>
        <w:t xml:space="preserve"> </w:t>
      </w:r>
      <w:r>
        <w:t xml:space="preserve">— do not confuse them: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Flow visibility (NetFlow / NSEL)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Ingest appliance</w:t>
            </w:r>
          </w:p>
        </w:tc>
        <w:tc>
          <w:tcPr/>
          <w:p>
            <w:pPr>
              <w:pStyle w:val="Compact"/>
            </w:pPr>
            <w:r>
              <w:t xml:space="preserve">CSW sees flows from FTD/ASA without agents</w:t>
            </w:r>
          </w:p>
        </w:tc>
        <w:tc>
          <w:tcPr/>
          <w:p>
            <w:pPr>
              <w:pStyle w:val="Compact"/>
            </w:pPr>
            <w:r>
              <w:t xml:space="preserve">Firewall → Ingest → CSW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Connector</w:t>
            </w:r>
          </w:p>
        </w:tc>
        <w:tc>
          <w:tcPr/>
          <w:p>
            <w:pPr>
              <w:pStyle w:val="Compact"/>
            </w:pPr>
            <w:r>
              <w:t xml:space="preserve">CSW pushes segmentation rules to FTD via FMC</w:t>
            </w:r>
          </w:p>
        </w:tc>
        <w:tc>
          <w:tcPr/>
          <w:p>
            <w:pPr>
              <w:pStyle w:val="Compact"/>
            </w:pPr>
            <w:r>
              <w:t xml:space="preserve">CSW → FMC → FTD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Generic NetFlow connector</w:t>
      </w:r>
      <w:r>
        <w:t xml:space="preserve"> </w:t>
      </w:r>
      <w:r>
        <w:t xml:space="preserve">(switches/routers) is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path — for NetFlow v9/IPFIX from</w:t>
      </w:r>
      <w:r>
        <w:t xml:space="preserve"> </w:t>
      </w:r>
      <w:r>
        <w:rPr>
          <w:b/>
          <w:bCs/>
        </w:rPr>
        <w:t xml:space="preserve">network devices</w:t>
      </w:r>
      <w:r>
        <w:t xml:space="preserve">, not from Secure Firewall NSEL. Use</w:t>
      </w:r>
      <w:r>
        <w:t xml:space="preserve"> </w:t>
      </w:r>
      <w:r>
        <w:rPr>
          <w:b/>
          <w:bCs/>
        </w:rPr>
        <w:t xml:space="preserve">Secure Firewall Connector</w:t>
      </w:r>
      <w:r>
        <w:t xml:space="preserve"> </w:t>
      </w:r>
      <w:r>
        <w:t xml:space="preserve">when the source is</w:t>
      </w:r>
      <w:r>
        <w:t xml:space="preserve"> </w:t>
      </w:r>
      <w:r>
        <w:rPr>
          <w:b/>
          <w:bCs/>
        </w:rPr>
        <w:t xml:space="preserve">FTD or ASA NSEL</w:t>
      </w:r>
      <w:r>
        <w:t xml:space="preserve">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as</w:t>
      </w:r>
      <w:r>
        <w:t xml:space="preserve"> </w:t>
      </w:r>
      <w:r>
        <w:rPr>
          <w:b/>
          <w:bCs/>
        </w:rPr>
        <w:t xml:space="preserve">Cisco ACI</w:t>
      </w:r>
      <w:r>
        <w:t xml:space="preserve"> </w:t>
      </w:r>
      <w:r>
        <w:t xml:space="preserve">integration (fabric policy). ACI has its own connector and video — see</w:t>
      </w:r>
      <w:r>
        <w:t xml:space="preserve"> </w:t>
      </w:r>
      <w:hyperlink r:id="rId10">
        <w:r>
          <w:rPr>
            <w:rStyle w:val="Hyperlink"/>
          </w:rPr>
          <w:t xml:space="preserve">ACI and CSW Integration</w:t>
        </w:r>
      </w:hyperlink>
      <w:r>
        <w:t xml:space="preserve"> </w:t>
      </w:r>
      <w:r>
        <w:t xml:space="preserve">in the video library.</w:t>
      </w:r>
    </w:p>
    <w:p>
      <w:r>
        <w:pict>
          <v:rect style="width:0;height:1.5pt" o:hralign="center" o:hrstd="t" o:hr="t"/>
        </w:pict>
      </w:r>
    </w:p>
    <w:bookmarkEnd w:id="11"/>
    <w:bookmarkStart w:id="13" w:name="architecture-high-level"/>
    <w:p>
      <w:pPr>
        <w:pStyle w:val="Heading2"/>
      </w:pPr>
      <w:r>
        <w:t xml:space="preserve">Architecture (high level)</w:t>
      </w:r>
    </w:p>
    <w:p>
      <w:pPr>
        <w:pStyle w:val="SourceCode"/>
      </w:pPr>
      <w:r>
        <w:rPr>
          <w:rStyle w:val="VerbatimChar"/>
        </w:rPr>
        <w:t xml:space="preserve">                    VISIBILITY PATH (NSEL)</w:t>
      </w:r>
      <w:r>
        <w:br/>
      </w:r>
      <w:r>
        <w:rPr>
          <w:rStyle w:val="VerbatimChar"/>
        </w:rPr>
        <w:t xml:space="preserve">  ┌─────────────────┐     NSEL (NetFlow v9)      ┌──────────────────────┐</w:t>
      </w:r>
      <w:r>
        <w:br/>
      </w:r>
      <w:r>
        <w:rPr>
          <w:rStyle w:val="VerbatimChar"/>
        </w:rPr>
        <w:t xml:space="preserve">  │ Secure Firewall │ ─────────────────────────▶ │ Secure Firewall       │</w:t>
      </w:r>
      <w:r>
        <w:br/>
      </w:r>
      <w:r>
        <w:rPr>
          <w:rStyle w:val="VerbatimChar"/>
        </w:rPr>
        <w:t xml:space="preserve">  │ FTD / ASA       │     port 4729 typical       │ Connector (Docker on  │</w:t>
      </w:r>
      <w:r>
        <w:br/>
      </w:r>
      <w:r>
        <w:rPr>
          <w:rStyle w:val="VerbatimChar"/>
        </w:rPr>
        <w:t xml:space="preserve">  └─────────────────┘                             │ Ingest appliance)     │</w:t>
      </w:r>
      <w:r>
        <w:br/>
      </w:r>
      <w:r>
        <w:rPr>
          <w:rStyle w:val="VerbatimChar"/>
        </w:rPr>
        <w:t xml:space="preserve"> 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Secure Connector (SaaS)</w:t>
      </w:r>
      <w:r>
        <w:br/>
      </w:r>
      <w:r>
        <w:rPr>
          <w:rStyle w:val="VerbatimChar"/>
        </w:rPr>
        <w:t xml:space="preserve">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│ Cisco Secure Workload │</w:t>
      </w:r>
      <w:r>
        <w:br/>
      </w:r>
      <w:r>
        <w:rPr>
          <w:rStyle w:val="VerbatimChar"/>
        </w:rPr>
        <w:t xml:space="preserve">                                                    │ (flows, ADM, policy)  │</w:t>
      </w:r>
      <w:r>
        <w:br/>
      </w:r>
      <w:r>
        <w:rPr>
          <w:rStyle w:val="VerbatimChar"/>
        </w:rPr>
        <w:t xml:space="preserve">                            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│</w:t>
      </w:r>
      <w:r>
        <w:br/>
      </w:r>
      <w:r>
        <w:rPr>
          <w:rStyle w:val="VerbatimChar"/>
        </w:rPr>
        <w:t xml:space="preserve">                    ENFORCEMENT PATH (FMC)                       │</w:t>
      </w:r>
      <w:r>
        <w:br/>
      </w:r>
      <w:r>
        <w:rPr>
          <w:rStyle w:val="VerbatimChar"/>
        </w:rPr>
        <w:t xml:space="preserve">                         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┌─────────────────┐     REST API + deploy      ┌──────────────────────┐</w:t>
      </w:r>
      <w:r>
        <w:br/>
      </w:r>
      <w:r>
        <w:rPr>
          <w:rStyle w:val="VerbatimChar"/>
        </w:rPr>
        <w:t xml:space="preserve">  │ Secure Firewall │ ◀───────────────────────── │ FMC Connector         │</w:t>
      </w:r>
      <w:r>
        <w:br/>
      </w:r>
      <w:r>
        <w:rPr>
          <w:rStyle w:val="VerbatimChar"/>
        </w:rPr>
        <w:t xml:space="preserve">  │ FTD (managed)    │     Dynamic objects + ACP   │ (CSW UI)              │</w:t>
      </w:r>
      <w:r>
        <w:br/>
      </w:r>
      <w:r>
        <w:rPr>
          <w:rStyle w:val="VerbatimChar"/>
        </w:rPr>
        <w:t xml:space="preserve">  └─────────────────┘               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▲</w:t>
      </w:r>
      <w:r>
        <w:br/>
      </w:r>
      <w:r>
        <w:rPr>
          <w:rStyle w:val="VerbatimChar"/>
        </w:rPr>
        <w:t xml:space="preserve">           │ manages</w:t>
      </w:r>
      <w:r>
        <w:br/>
      </w:r>
      <w:r>
        <w:rPr>
          <w:rStyle w:val="VerbatimChar"/>
        </w:rPr>
        <w:t xml:space="preserve">  ┌────────┴────────┐</w:t>
      </w:r>
      <w:r>
        <w:br/>
      </w:r>
      <w:r>
        <w:rPr>
          <w:rStyle w:val="VerbatimChar"/>
        </w:rPr>
        <w:t xml:space="preserve">  │ FMC / cdFMC      │</w:t>
      </w:r>
      <w:r>
        <w:br/>
      </w:r>
      <w:r>
        <w:rPr>
          <w:rStyle w:val="VerbatimChar"/>
        </w:rPr>
        <w:t xml:space="preserve">  └─────────────────┘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SaaS CSW:</w:t>
      </w:r>
      <w:r>
        <w:t xml:space="preserve"> </w:t>
      </w:r>
      <w:r>
        <w:t xml:space="preserve">Secure Connector (or corporate proxy) is required between Ingest appliance and the CSW tenant.</w:t>
      </w:r>
    </w:p>
    <w:p>
      <w:pPr>
        <w:pStyle w:val="BodyText"/>
      </w:pPr>
      <w:r>
        <w:t xml:space="preserve">Reference:</w:t>
      </w:r>
      <w:r>
        <w:t xml:space="preserve"> </w:t>
      </w:r>
      <w:hyperlink r:id="rId12">
        <w:r>
          <w:rPr>
            <w:rStyle w:val="Hyperlink"/>
          </w:rPr>
          <w:t xml:space="preserve">Cisco Secure Workload and Secure Firewall White Paper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prerequisites-checklist"/>
    <w:p>
      <w:pPr>
        <w:pStyle w:val="Heading2"/>
      </w:pPr>
      <w:r>
        <w:t xml:space="preserve">Prerequisites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CSW tenant</w:t>
            </w:r>
            <w:r>
              <w:t xml:space="preserve"> </w:t>
            </w:r>
            <w:r>
              <w:t xml:space="preserve">(SaaS or on-prem) with admin access</w:t>
            </w:r>
          </w:p>
        </w:tc>
        <w:tc>
          <w:tcPr/>
          <w:p>
            <w:pPr>
              <w:pStyle w:val="Compact"/>
            </w:pPr>
            <w:r>
              <w:t xml:space="preserve">Scopes and workspaces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Workload Ingest virtual appliance</w:t>
            </w:r>
          </w:p>
        </w:tc>
        <w:tc>
          <w:tcPr/>
          <w:p>
            <w:pPr>
              <w:pStyle w:val="Compact"/>
            </w:pPr>
            <w:r>
              <w:t xml:space="preserve">Provisioned and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(SaaS) or network path to CSW</w:t>
            </w:r>
          </w:p>
        </w:tc>
        <w:tc>
          <w:tcPr/>
          <w:p>
            <w:pPr>
              <w:pStyle w:val="Compact"/>
            </w:pPr>
            <w:r>
              <w:t xml:space="preserve">Mandatory for SaaS ingest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Management Center (FMC)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cdFMC</w:t>
            </w:r>
          </w:p>
        </w:tc>
        <w:tc>
          <w:tcPr/>
          <w:p>
            <w:pPr>
              <w:pStyle w:val="Compact"/>
            </w:pPr>
            <w:r>
              <w:t xml:space="preserve">For enforcement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FMC REST API 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administrative privileges</w:t>
            </w:r>
          </w:p>
        </w:tc>
        <w:tc>
          <w:tcPr/>
          <w:p>
            <w:pPr>
              <w:pStyle w:val="Compact"/>
            </w:pPr>
            <w:r>
              <w:t xml:space="preserve">Required for FMC connector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FTD or ASA</w:t>
            </w:r>
            <w:r>
              <w:t xml:space="preserve"> </w:t>
            </w:r>
            <w:r>
              <w:t xml:space="preserve">firewalls in scope</w:t>
            </w:r>
          </w:p>
        </w:tc>
        <w:tc>
          <w:tcPr/>
          <w:p>
            <w:pPr>
              <w:pStyle w:val="Compact"/>
            </w:pPr>
            <w:r>
              <w:t xml:space="preserve">NSEL on firewall; FTD for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 Control Policy (ACP)</w:t>
            </w:r>
            <w:r>
              <w:t xml:space="preserve"> </w:t>
            </w:r>
            <w:r>
              <w:t xml:space="preserve">mapped to CSW scope**</w:t>
            </w:r>
          </w:p>
        </w:tc>
        <w:tc>
          <w:tcPr/>
          <w:p>
            <w:pPr>
              <w:pStyle w:val="Compact"/>
            </w:pPr>
            <w:r>
              <w:t xml:space="preserve">Per enforcement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planning</w:t>
            </w:r>
          </w:p>
        </w:tc>
        <w:tc>
          <w:tcPr/>
          <w:p>
            <w:pPr>
              <w:pStyle w:val="Compact"/>
            </w:pPr>
            <w:r>
              <w:t xml:space="preserve">~45k fps per Secure Firewall connector per Cisco white paper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31" w:name="Xc0d5f78538ff0d21d0952c60f54b70b371c53ae"/>
    <w:p>
      <w:pPr>
        <w:pStyle w:val="Heading2"/>
      </w:pPr>
      <w:r>
        <w:t xml:space="preserve">Part A — NetFlow / NSEL visibility (Secure Firewall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 receives bidirectional flow records from the firewall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host agents — for discovery, ADM, and monitor-mode policy.</w:t>
      </w:r>
    </w:p>
    <w:bookmarkStart w:id="17" w:name="step-a1--plan-ingest-placement"/>
    <w:p>
      <w:pPr>
        <w:pStyle w:val="Heading3"/>
      </w:pPr>
      <w:r>
        <w:t xml:space="preserve">Step A1 — Plan ingest placement</w:t>
      </w:r>
    </w:p>
    <w:p>
      <w:pPr>
        <w:pStyle w:val="Compact"/>
        <w:numPr>
          <w:ilvl w:val="0"/>
          <w:numId w:val="1001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Ingest appliance</w:t>
      </w:r>
      <w:r>
        <w:t xml:space="preserve"> </w:t>
      </w:r>
      <w:r>
        <w:t xml:space="preserve">is deployed:</w:t>
      </w:r>
      <w:r>
        <w:t xml:space="preserve"> </w:t>
      </w:r>
      <w:r>
        <w:rPr>
          <w:b/>
          <w:bCs/>
        </w:rPr>
        <w:t xml:space="preserve">Manage → Workloads → Virtual Appliances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Note the</w:t>
      </w:r>
      <w:r>
        <w:t xml:space="preserve"> </w:t>
      </w:r>
      <w:r>
        <w:rPr>
          <w:b/>
          <w:bCs/>
        </w:rPr>
        <w:t xml:space="preserve">connector slot 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listening port</w:t>
      </w:r>
      <w:r>
        <w:t xml:space="preserve"> </w:t>
      </w:r>
      <w:r>
        <w:t xml:space="preserve">(default</w:t>
      </w:r>
      <w:r>
        <w:t xml:space="preserve"> </w:t>
      </w:r>
      <w:r>
        <w:rPr>
          <w:b/>
          <w:bCs/>
        </w:rPr>
        <w:t xml:space="preserve">4729</w:t>
      </w:r>
      <w:r>
        <w:t xml:space="preserve"> </w:t>
      </w:r>
      <w:r>
        <w:t xml:space="preserve">for Secure Firewall connector / NSEL).</w:t>
      </w:r>
    </w:p>
    <w:p>
      <w:pPr>
        <w:pStyle w:val="Compact"/>
        <w:numPr>
          <w:ilvl w:val="0"/>
          <w:numId w:val="1001"/>
        </w:numPr>
      </w:pPr>
      <w:r>
        <w:t xml:space="preserve">Ensure firewalls can reach Ingest on</w:t>
      </w:r>
      <w:r>
        <w:t xml:space="preserve"> </w:t>
      </w:r>
      <w:r>
        <w:rPr>
          <w:b/>
          <w:bCs/>
        </w:rPr>
        <w:t xml:space="preserve">UDP 4729</w:t>
      </w:r>
      <w:r>
        <w:t xml:space="preserve"> </w:t>
      </w:r>
      <w:r>
        <w:t xml:space="preserve">(adjust if you change listening ports in CSW).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b/>
          <w:bCs/>
        </w:rPr>
        <w:t xml:space="preserve">Agent Remote VRF</w:t>
      </w:r>
      <w:r>
        <w:t xml:space="preserve"> </w:t>
      </w:r>
      <w:r>
        <w:t xml:space="preserve">if using VRFs:</w:t>
      </w:r>
      <w:r>
        <w:t xml:space="preserve"> </w:t>
      </w:r>
      <w:r>
        <w:rPr>
          <w:b/>
          <w:bCs/>
        </w:rPr>
        <w:t xml:space="preserve">Manage → Agents → Configuration → Agent Remote VRF Configurations</w:t>
      </w:r>
      <w:r>
        <w:t xml:space="preserve"> </w:t>
      </w:r>
      <w:r>
        <w:t xml:space="preserve">(one connector per VRF).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15">
        <w:r>
          <w:rPr>
            <w:rStyle w:val="Hyperlink"/>
          </w:rPr>
          <w:t xml:space="preserve">Connector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16">
        <w:r>
          <w:rPr>
            <w:rStyle w:val="Hyperlink"/>
          </w:rPr>
          <w:t xml:space="preserve">Connector Deployment</w:t>
        </w:r>
      </w:hyperlink>
    </w:p>
    <w:bookmarkEnd w:id="17"/>
    <w:bookmarkStart w:id="18" w:name="X09497fff7c6eba169f3f346994cc680f3918fd0"/>
    <w:p>
      <w:pPr>
        <w:pStyle w:val="Heading3"/>
      </w:pPr>
      <w:r>
        <w:t xml:space="preserve">Step A2 — Enable Secure Firewall Connector in CSW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Manage → Workloads → Connectors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Cisco Secure Firewall Connector</w:t>
      </w:r>
      <w:r>
        <w:t xml:space="preserve"> </w:t>
      </w:r>
      <w:r>
        <w:t xml:space="preserve">(formerly ASA connector).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Enable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Ingest appliance</w:t>
      </w:r>
      <w:r>
        <w:t xml:space="preserve"> </w:t>
      </w:r>
      <w:r>
        <w:t xml:space="preserve">(not Edge-only for this use case).</w:t>
      </w:r>
    </w:p>
    <w:p>
      <w:pPr>
        <w:pStyle w:val="Compact"/>
        <w:numPr>
          <w:ilvl w:val="0"/>
          <w:numId w:val="1002"/>
        </w:numPr>
      </w:pPr>
      <w:r>
        <w:t xml:space="preserve">Wait for Docker container status</w:t>
      </w:r>
      <w:r>
        <w:t xml:space="preserve"> </w:t>
      </w:r>
      <w:r>
        <w:rPr>
          <w:b/>
          <w:bCs/>
        </w:rPr>
        <w:t xml:space="preserve">Enabled</w:t>
      </w:r>
      <w:r>
        <w:t xml:space="preserve">; open connector details and record:</w:t>
      </w:r>
    </w:p>
    <w:p>
      <w:pPr>
        <w:pStyle w:val="Compact"/>
        <w:numPr>
          <w:ilvl w:val="1"/>
          <w:numId w:val="1003"/>
        </w:numPr>
      </w:pPr>
      <w:r>
        <w:t xml:space="preserve">Connector</w:t>
      </w:r>
      <w:r>
        <w:t xml:space="preserve"> </w:t>
      </w:r>
      <w:r>
        <w:rPr>
          <w:b/>
          <w:bCs/>
        </w:rPr>
        <w:t xml:space="preserve">ID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IP:port</w:t>
      </w:r>
      <w:r>
        <w:t xml:space="preserve"> </w:t>
      </w:r>
      <w:r>
        <w:t xml:space="preserve">to configure on the firewall (e.g.</w:t>
      </w:r>
      <w:r>
        <w:t xml:space="preserve"> </w:t>
      </w:r>
      <w:r>
        <w:rPr>
          <w:rStyle w:val="VerbatimChar"/>
        </w:rPr>
        <w:t xml:space="preserve">172.29.142.27:4729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Limits (CSW 4.0 docs):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Secure Firewall connector per Ingest appliance;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per tenant.</w:t>
      </w:r>
    </w:p>
    <w:bookmarkEnd w:id="18"/>
    <w:bookmarkStart w:id="24" w:name="X1d86ee083ac7cc7fc2457ee142ec72215da7a7d"/>
    <w:p>
      <w:pPr>
        <w:pStyle w:val="Heading3"/>
      </w:pPr>
      <w:r>
        <w:t xml:space="preserve">Step A3 — Enable NSEL on Secure Firewall (ASA example)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ASA</w:t>
      </w:r>
      <w:r>
        <w:t xml:space="preserve">, NSEL exports</w:t>
      </w:r>
      <w:r>
        <w:t xml:space="preserve"> </w:t>
      </w:r>
      <w:r>
        <w:rPr>
          <w:b/>
          <w:bCs/>
        </w:rPr>
        <w:t xml:space="preserve">stateful</w:t>
      </w:r>
      <w:r>
        <w:t xml:space="preserve"> </w:t>
      </w:r>
      <w:r>
        <w:t xml:space="preserve">flow events (create, teardown, deny, update) to the collector.</w:t>
      </w:r>
    </w:p>
    <w:p>
      <w:pPr>
        <w:pStyle w:val="BodyText"/>
      </w:pPr>
      <w:r>
        <w:t xml:space="preserve">Example pattern (replace IP/port with your Ingest connector endpoint):</w:t>
      </w:r>
    </w:p>
    <w:p>
      <w:pPr>
        <w:pStyle w:val="SourceCode"/>
      </w:pPr>
      <w:r>
        <w:rPr>
          <w:rStyle w:val="VerbatimChar"/>
        </w:rPr>
        <w:t xml:space="preserve">flow-export destination outside &lt;INGEST_CONNECTOR_IP&gt; 4729</w:t>
      </w:r>
      <w:r>
        <w:br/>
      </w:r>
      <w:r>
        <w:rPr>
          <w:rStyle w:val="VerbatimChar"/>
        </w:rPr>
        <w:t xml:space="preserve">flow-export template timeout-rate 1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policy-map flow_export_policy</w:t>
      </w:r>
      <w:r>
        <w:br/>
      </w:r>
      <w:r>
        <w:rPr>
          <w:rStyle w:val="VerbatimChar"/>
        </w:rPr>
        <w:t xml:space="preserve">  class class-default</w:t>
      </w:r>
      <w:r>
        <w:br/>
      </w:r>
      <w:r>
        <w:rPr>
          <w:rStyle w:val="VerbatimChar"/>
        </w:rPr>
        <w:t xml:space="preserve">  flow-export event-type flow-create destination &lt;INGEST_CONNECTOR_IP&gt;</w:t>
      </w:r>
      <w:r>
        <w:br/>
      </w:r>
      <w:r>
        <w:rPr>
          <w:rStyle w:val="VerbatimChar"/>
        </w:rPr>
        <w:t xml:space="preserve">  flow-export event-type flow-teardown destination &lt;INGEST_CONNECTOR_IP&gt;</w:t>
      </w:r>
      <w:r>
        <w:br/>
      </w:r>
      <w:r>
        <w:rPr>
          <w:rStyle w:val="VerbatimChar"/>
        </w:rPr>
        <w:t xml:space="preserve">  flow-export event-type flow-denied destination &lt;INGEST_CONNECTOR_IP&gt;</w:t>
      </w:r>
      <w:r>
        <w:br/>
      </w:r>
      <w:r>
        <w:rPr>
          <w:rStyle w:val="VerbatimChar"/>
        </w:rPr>
        <w:t xml:space="preserve">  flow-export event-type flow-update destination &lt;INGEST_CONNECTOR_IP&gt;</w:t>
      </w:r>
      <w:r>
        <w:br/>
      </w:r>
      <w:r>
        <w:rPr>
          <w:rStyle w:val="VerbatimChar"/>
        </w:rPr>
        <w:t xml:space="preserve">  user-statistics accounting</w:t>
      </w:r>
      <w:r>
        <w:br/>
      </w:r>
      <w:r>
        <w:rPr>
          <w:rStyle w:val="VerbatimChar"/>
        </w:rPr>
        <w:t xml:space="preserve">service-policy flow_export_policy global</w:t>
      </w:r>
    </w:p>
    <w:p>
      <w:pPr>
        <w:pStyle w:val="FirstParagraph"/>
      </w:pPr>
      <w:r>
        <w:rPr>
          <w:b/>
          <w:bCs/>
        </w:rPr>
        <w:t xml:space="preserve">FTD / managed devices:</w:t>
      </w:r>
      <w:r>
        <w:t xml:space="preserve"> </w:t>
      </w:r>
      <w:r>
        <w:t xml:space="preserve">Configure NSEL export toward the same Ingest endpoint per your FMC/device template and the</w:t>
      </w:r>
      <w:r>
        <w:t xml:space="preserve"> </w:t>
      </w:r>
      <w:hyperlink r:id="rId19">
        <w:r>
          <w:rPr>
            <w:rStyle w:val="Hyperlink"/>
          </w:rPr>
          <w:t xml:space="preserve">ASA NetFlow Implementation Guide</w:t>
        </w:r>
      </w:hyperlink>
      <w:r>
        <w:t xml:space="preserve"> </w:t>
      </w:r>
      <w:r>
        <w:t xml:space="preserve">/ FTD equivalent for your version.</w:t>
      </w:r>
    </w:p>
    <w:p>
      <w:pPr>
        <w:pStyle w:val="BodyText"/>
      </w:pPr>
      <w:r>
        <w:rPr>
          <w:b/>
          <w:bCs/>
        </w:rPr>
        <w:t xml:space="preserve">Video (series):</w:t>
      </w:r>
      <w:r>
        <w:t xml:space="preserve"> </w:t>
      </w:r>
      <w:hyperlink r:id="rId20">
        <w:r>
          <w:rPr>
            <w:rStyle w:val="Hyperlink"/>
          </w:rPr>
          <w:t xml:space="preserve">Secure Workload &amp; Firewall Integration — Part 1</w:t>
        </w:r>
      </w:hyperlink>
      <w:r>
        <w:t xml:space="preserve"> </w:t>
      </w:r>
      <w:r>
        <w:t xml:space="preserve">(architecture) ·</w:t>
      </w:r>
      <w:r>
        <w:t xml:space="preserve"> </w:t>
      </w:r>
      <w:hyperlink r:id="rId21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(deployment) ·</w:t>
      </w:r>
      <w:r>
        <w:t xml:space="preserve"> </w:t>
      </w:r>
      <w:hyperlink r:id="rId22">
        <w:r>
          <w:rPr>
            <w:rStyle w:val="Hyperlink"/>
          </w:rPr>
          <w:t xml:space="preserve">Part 3</w:t>
        </w:r>
      </w:hyperlink>
      <w:r>
        <w:t xml:space="preserve"> </w:t>
      </w:r>
      <w:r>
        <w:t xml:space="preserve">(operations)</w:t>
      </w:r>
    </w:p>
    <w:p>
      <w:pPr>
        <w:pStyle w:val="BodyText"/>
      </w:pPr>
      <w:r>
        <w:rPr>
          <w:b/>
          <w:bCs/>
        </w:rPr>
        <w:t xml:space="preserve">Updated overview (2025–2026):</w:t>
      </w:r>
      <w:r>
        <w:t xml:space="preserve"> </w:t>
      </w:r>
      <w:hyperlink r:id="rId23">
        <w:r>
          <w:rPr>
            <w:rStyle w:val="Hyperlink"/>
          </w:rPr>
          <w:t xml:space="preserve">Secure Workload &amp; Secure Firewall Integration Updates</w:t>
        </w:r>
      </w:hyperlink>
    </w:p>
    <w:bookmarkEnd w:id="24"/>
    <w:bookmarkStart w:id="26" w:name="step-a4--validate-flow-ingestion-in-csw"/>
    <w:p>
      <w:pPr>
        <w:pStyle w:val="Heading3"/>
      </w:pPr>
      <w:r>
        <w:t xml:space="preserve">Step A4 — Validate flow ingestion in CSW</w:t>
      </w:r>
    </w:p>
    <w:p>
      <w:pPr>
        <w:pStyle w:val="Compact"/>
        <w:numPr>
          <w:ilvl w:val="0"/>
          <w:numId w:val="1004"/>
        </w:numPr>
      </w:pPr>
      <w:r>
        <w:t xml:space="preserve">Generate test traffic through the firewall (permitted and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if possible).</w:t>
      </w:r>
    </w:p>
    <w:p>
      <w:pPr>
        <w:pStyle w:val="Compact"/>
        <w:numPr>
          <w:ilvl w:val="0"/>
          <w:numId w:val="1004"/>
        </w:numPr>
      </w:pPr>
      <w:r>
        <w:t xml:space="preserve">In CSW, open</w:t>
      </w:r>
      <w:r>
        <w:t xml:space="preserve"> </w:t>
      </w:r>
      <w:r>
        <w:rPr>
          <w:b/>
          <w:bCs/>
        </w:rPr>
        <w:t xml:space="preserve">Flow Analysis</w:t>
      </w:r>
      <w:r>
        <w:t xml:space="preserve"> </w:t>
      </w:r>
      <w:r>
        <w:t xml:space="preserve">— confirm flows appear with firewall-sourced endpoints.</w:t>
      </w:r>
    </w:p>
    <w:p>
      <w:pPr>
        <w:pStyle w:val="Compact"/>
        <w:numPr>
          <w:ilvl w:val="0"/>
          <w:numId w:val="1004"/>
        </w:numPr>
      </w:pPr>
      <w:r>
        <w:t xml:space="preserve">Check connector health:</w:t>
      </w:r>
      <w:r>
        <w:t xml:space="preserve"> </w:t>
      </w:r>
      <w:r>
        <w:rPr>
          <w:b/>
          <w:bCs/>
        </w:rPr>
        <w:t xml:space="preserve">Manage → Workloads → Connectors</w:t>
      </w:r>
      <w:r>
        <w:t xml:space="preserve"> </w:t>
      </w:r>
      <w:r>
        <w:t xml:space="preserve">→ heartbeat/statistics.</w:t>
      </w:r>
    </w:p>
    <w:p>
      <w:pPr>
        <w:pStyle w:val="Compact"/>
        <w:numPr>
          <w:ilvl w:val="0"/>
          <w:numId w:val="1004"/>
        </w:numPr>
      </w:pPr>
      <w:r>
        <w:t xml:space="preserve">Optional: filter flows where NetFlow was the source (</w:t>
      </w:r>
      <w:r>
        <w:rPr>
          <w:rStyle w:val="VerbatimChar"/>
        </w:rPr>
        <w:t xml:space="preserve">user_src_NETFLOW_IDENTIFIED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user_dst_NETFLOW_IDENTIFIED</w:t>
      </w:r>
      <w:r>
        <w:t xml:space="preserve"> </w:t>
      </w:r>
      <w:r>
        <w:t xml:space="preserve">in API exports).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25">
        <w:r>
          <w:rPr>
            <w:rStyle w:val="Hyperlink"/>
          </w:rPr>
          <w:t xml:space="preserve">Flow Analysis</w:t>
        </w:r>
      </w:hyperlink>
    </w:p>
    <w:p>
      <w:pPr>
        <w:pStyle w:val="BodyText"/>
      </w:pPr>
      <w:r>
        <w:rPr>
          <w:b/>
          <w:bCs/>
        </w:rPr>
        <w:t xml:space="preserve">NSEL event handling (summary):</w:t>
      </w:r>
      <w:r>
        <w:t xml:space="preserve"> </w:t>
      </w:r>
      <w:r>
        <w:t xml:space="preserve">flow-create and flow-update → exported; flow-denied → exported as</w:t>
      </w:r>
      <w:r>
        <w:t xml:space="preserve"> </w:t>
      </w:r>
      <w:r>
        <w:rPr>
          <w:b/>
          <w:bCs/>
        </w:rPr>
        <w:t xml:space="preserve">rejected</w:t>
      </w:r>
      <w:r>
        <w:t xml:space="preserve">; connector sends</w:t>
      </w:r>
      <w:r>
        <w:t xml:space="preserve"> </w:t>
      </w:r>
      <w:r>
        <w:rPr>
          <w:b/>
          <w:bCs/>
        </w:rPr>
        <w:t xml:space="preserve">forward + reverse</w:t>
      </w:r>
      <w:r>
        <w:t xml:space="preserve"> </w:t>
      </w:r>
      <w:r>
        <w:t xml:space="preserve">flow observations.</w:t>
      </w:r>
    </w:p>
    <w:bookmarkEnd w:id="26"/>
    <w:bookmarkStart w:id="30" w:name="Xedfb3a156cb44cafa0b95ef32a14deb4d3b3177"/>
    <w:p>
      <w:pPr>
        <w:pStyle w:val="Heading3"/>
      </w:pPr>
      <w:r>
        <w:t xml:space="preserve">Step A5 — Label workloads and run discovery</w:t>
      </w:r>
    </w:p>
    <w:p>
      <w:pPr>
        <w:pStyle w:val="Compact"/>
        <w:numPr>
          <w:ilvl w:val="0"/>
          <w:numId w:val="1005"/>
        </w:numPr>
      </w:pPr>
      <w:r>
        <w:t xml:space="preserve">Import or assign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(CMDB, IPAM, manual) for firewall-visible subnets.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Application Dependency Mapping (ADM)</w:t>
      </w:r>
      <w:r>
        <w:t xml:space="preserve"> </w:t>
      </w:r>
      <w:r>
        <w:t xml:space="preserve">on a scoped workspace.</w:t>
      </w:r>
    </w:p>
    <w:p>
      <w:pPr>
        <w:pStyle w:val="Compact"/>
        <w:numPr>
          <w:ilvl w:val="0"/>
          <w:numId w:val="1005"/>
        </w:numPr>
      </w:pPr>
      <w:r>
        <w:t xml:space="preserve">Stay in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mode until app owners validate dependencies.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27">
        <w:r>
          <w:rPr>
            <w:rStyle w:val="Hyperlink"/>
          </w:rPr>
          <w:t xml:space="preserve">Basic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Enhancing Application Discovery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ADM &amp; Policy Analysis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Xebb41616b9c3e2ef952afbf40fad15a65c6ffc7"/>
    <w:p>
      <w:pPr>
        <w:pStyle w:val="Heading2"/>
      </w:pPr>
      <w:r>
        <w:t xml:space="preserve">Part B — Policy enforcement on Secure Firewall (FMC Connector)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CSW</w:t>
      </w:r>
      <w:r>
        <w:t xml:space="preserve"> </w:t>
      </w:r>
      <w:r>
        <w:rPr>
          <w:b/>
          <w:bCs/>
        </w:rPr>
        <w:t xml:space="preserve">pushes</w:t>
      </w:r>
      <w:r>
        <w:t xml:space="preserve"> </w:t>
      </w:r>
      <w:r>
        <w:t xml:space="preserve">segmentation policy to</w:t>
      </w:r>
      <w:r>
        <w:t xml:space="preserve"> </w:t>
      </w:r>
      <w:r>
        <w:rPr>
          <w:b/>
          <w:bCs/>
        </w:rPr>
        <w:t xml:space="preserve">FTD</w:t>
      </w:r>
      <w:r>
        <w:t xml:space="preserve"> </w:t>
      </w:r>
      <w:r>
        <w:t xml:space="preserve">devices managed by FMC — dynamic objects and ACP rules update as inventory changes.</w:t>
      </w:r>
    </w:p>
    <w:bookmarkStart w:id="33" w:name="step-b1--onboard-firewalls-in-fmc"/>
    <w:p>
      <w:pPr>
        <w:pStyle w:val="Heading3"/>
      </w:pPr>
      <w:r>
        <w:t xml:space="preserve">Step B1 — Onboard firewalls in FMC</w:t>
      </w:r>
    </w:p>
    <w:p>
      <w:pPr>
        <w:pStyle w:val="Compact"/>
        <w:numPr>
          <w:ilvl w:val="0"/>
          <w:numId w:val="1006"/>
        </w:numPr>
      </w:pPr>
      <w:r>
        <w:t xml:space="preserve">Ensure target</w:t>
      </w:r>
      <w:r>
        <w:t xml:space="preserve"> </w:t>
      </w:r>
      <w:r>
        <w:rPr>
          <w:b/>
          <w:bCs/>
        </w:rPr>
        <w:t xml:space="preserve">FTD devices</w:t>
      </w:r>
      <w:r>
        <w:t xml:space="preserve"> </w:t>
      </w:r>
      <w:r>
        <w:t xml:space="preserve">are managed by</w:t>
      </w:r>
      <w:r>
        <w:t xml:space="preserve"> </w:t>
      </w:r>
      <w:r>
        <w:rPr>
          <w:b/>
          <w:bCs/>
        </w:rPr>
        <w:t xml:space="preserve">FMC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cdFMC</w:t>
      </w:r>
      <w:r>
        <w:t xml:space="preserve"> </w:t>
      </w:r>
      <w:r>
        <w:t xml:space="preserve">(Security Cloud Control).</w:t>
      </w:r>
    </w:p>
    <w:p>
      <w:pPr>
        <w:pStyle w:val="Compact"/>
        <w:numPr>
          <w:ilvl w:val="0"/>
          <w:numId w:val="100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Access Control Policy (ACP)</w:t>
      </w:r>
      <w:r>
        <w:t xml:space="preserve"> </w:t>
      </w:r>
      <w:r>
        <w:t xml:space="preserve">exists for the segmentation zone.</w:t>
      </w:r>
    </w:p>
    <w:p>
      <w:pPr>
        <w:pStyle w:val="Compact"/>
        <w:numPr>
          <w:ilvl w:val="0"/>
          <w:numId w:val="1006"/>
        </w:numPr>
      </w:pPr>
      <w:r>
        <w:t xml:space="preserve">Document which</w:t>
      </w:r>
      <w:r>
        <w:t xml:space="preserve"> </w:t>
      </w:r>
      <w:r>
        <w:rPr>
          <w:b/>
          <w:bCs/>
        </w:rPr>
        <w:t xml:space="preserve">CSW scope</w:t>
      </w:r>
      <w:r>
        <w:t xml:space="preserve"> </w:t>
      </w:r>
      <w:r>
        <w:t xml:space="preserve">maps to which</w:t>
      </w:r>
      <w:r>
        <w:t xml:space="preserve"> </w:t>
      </w:r>
      <w:r>
        <w:rPr>
          <w:b/>
          <w:bCs/>
        </w:rPr>
        <w:t xml:space="preserve">ACP</w:t>
      </w:r>
      <w:r>
        <w:t xml:space="preserve"> </w:t>
      </w:r>
      <w:r>
        <w:t xml:space="preserve">(one ACP can map to one scope).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32">
        <w:r>
          <w:rPr>
            <w:rStyle w:val="Hyperlink"/>
          </w:rPr>
          <w:t xml:space="preserve">FMC Integration with Edge / Ingest / Appliance</w:t>
        </w:r>
      </w:hyperlink>
    </w:p>
    <w:bookmarkEnd w:id="33"/>
    <w:bookmarkStart w:id="35" w:name="step-b2--create-fmc-connector-in-csw"/>
    <w:p>
      <w:pPr>
        <w:pStyle w:val="Heading3"/>
      </w:pPr>
      <w:r>
        <w:t xml:space="preserve">Step B2 — Create FMC Connector in CSW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→ Workloads → Connectors → Cisco Secure Firewall Management Center Connector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Provide FMC</w:t>
      </w:r>
      <w:r>
        <w:t xml:space="preserve"> </w:t>
      </w:r>
      <w:r>
        <w:rPr>
          <w:b/>
          <w:bCs/>
        </w:rPr>
        <w:t xml:space="preserve">hostname</w:t>
      </w:r>
      <w:r>
        <w:t xml:space="preserve">,</w:t>
      </w:r>
      <w:r>
        <w:t xml:space="preserve"> </w:t>
      </w:r>
      <w:r>
        <w:rPr>
          <w:b/>
          <w:bCs/>
        </w:rPr>
        <w:t xml:space="preserve">REST API credentials</w:t>
      </w:r>
      <w:r>
        <w:t xml:space="preserve"> </w:t>
      </w:r>
      <w:r>
        <w:t xml:space="preserve">(admin privileges).</w:t>
      </w:r>
    </w:p>
    <w:p>
      <w:pPr>
        <w:pStyle w:val="Compact"/>
        <w:numPr>
          <w:ilvl w:val="0"/>
          <w:numId w:val="1007"/>
        </w:numPr>
      </w:pPr>
      <w:r>
        <w:t xml:space="preserve">Complete connectivity test; resolve proxy/TLS if using Secure Connector path to FMC.</w:t>
      </w:r>
    </w:p>
    <w:p>
      <w:pPr>
        <w:pStyle w:val="Compact"/>
        <w:numPr>
          <w:ilvl w:val="0"/>
          <w:numId w:val="1007"/>
        </w:numPr>
      </w:pPr>
      <w:r>
        <w:t xml:space="preserve">For full procedure see:</w:t>
      </w:r>
      <w:r>
        <w:t xml:space="preserve"> </w:t>
      </w:r>
      <w:hyperlink r:id="rId34">
        <w:r>
          <w:rPr>
            <w:rStyle w:val="Hyperlink"/>
          </w:rPr>
          <w:t xml:space="preserve">CSW and FMC Integration Guide</w:t>
        </w:r>
      </w:hyperlink>
      <w:r>
        <w:t xml:space="preserve"> </w:t>
      </w:r>
      <w:r>
        <w:t xml:space="preserve">(Cisco.com).</w:t>
      </w:r>
    </w:p>
    <w:bookmarkEnd w:id="35"/>
    <w:bookmarkStart w:id="39" w:name="X35db3db4f667707cea22cc4b2f33bc7e046253b"/>
    <w:p>
      <w:pPr>
        <w:pStyle w:val="Heading3"/>
      </w:pPr>
      <w:r>
        <w:t xml:space="preserve">Step B3 — Map scope to Access Control Policy</w:t>
      </w:r>
    </w:p>
    <w:p>
      <w:pPr>
        <w:pStyle w:val="FirstParagraph"/>
      </w:pPr>
      <w:r>
        <w:t xml:space="preserve">For each enforcement boundary:</w:t>
      </w:r>
    </w:p>
    <w:p>
      <w:pPr>
        <w:pStyle w:val="Compact"/>
        <w:numPr>
          <w:ilvl w:val="0"/>
          <w:numId w:val="1008"/>
        </w:numPr>
      </w:pPr>
      <w:r>
        <w:t xml:space="preserve">In CSW, map</w:t>
      </w:r>
      <w:r>
        <w:t xml:space="preserve"> </w:t>
      </w:r>
      <w:r>
        <w:rPr>
          <w:b/>
          <w:bCs/>
        </w:rPr>
        <w:t xml:space="preserve">Scope → ACP</w:t>
      </w:r>
      <w:r>
        <w:t xml:space="preserve"> </w:t>
      </w:r>
      <w:r>
        <w:t xml:space="preserve">on the FMC connector.</w:t>
      </w:r>
    </w:p>
    <w:p>
      <w:pPr>
        <w:pStyle w:val="Compact"/>
        <w:numPr>
          <w:ilvl w:val="0"/>
          <w:numId w:val="1008"/>
        </w:numPr>
      </w:pPr>
      <w:r>
        <w:t xml:space="preserve">Choose enforcement mode per mapping: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CSW rules coexist with existing FMC rules; CSW honors existing firewall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CSW rules take precedence in the mapped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ordering</w:t>
            </w:r>
          </w:p>
        </w:tc>
        <w:tc>
          <w:tcPr/>
          <w:p>
            <w:pPr>
              <w:pStyle w:val="Compact"/>
            </w:pPr>
            <w:r>
              <w:t xml:space="preserve">CSW rules at</w:t>
            </w:r>
            <w:r>
              <w:t xml:space="preserve"> </w:t>
            </w:r>
            <w:r>
              <w:rPr>
                <w:b/>
                <w:bCs/>
              </w:rPr>
              <w:t xml:space="preserve">top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bottom</w:t>
            </w:r>
            <w:r>
              <w:t xml:space="preserve"> </w:t>
            </w:r>
            <w:r>
              <w:t xml:space="preserve">of ACP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Catch-all</w:t>
            </w:r>
          </w:p>
        </w:tc>
        <w:tc>
          <w:tcPr/>
          <w:p>
            <w:pPr>
              <w:pStyle w:val="Compact"/>
            </w:pPr>
            <w:r>
              <w:t xml:space="preserve">Use CSW catch-all or keep FMC default action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Topology Awareness</w:t>
      </w:r>
      <w:r>
        <w:t xml:space="preserve"> </w:t>
      </w:r>
      <w:r>
        <w:t xml:space="preserve">so CSW only pushes rules to firewalls on the</w:t>
      </w:r>
      <w:r>
        <w:t xml:space="preserve"> </w:t>
      </w:r>
      <w:r>
        <w:rPr>
          <w:b/>
          <w:bCs/>
        </w:rPr>
        <w:t xml:space="preserve">traffic path</w:t>
      </w:r>
      <w:r>
        <w:t xml:space="preserve"> </w:t>
      </w:r>
      <w:r>
        <w:t xml:space="preserve">for each scope.</w:t>
      </w:r>
    </w:p>
    <w:p>
      <w:pPr>
        <w:pStyle w:val="FirstParagraph"/>
      </w:pPr>
      <w:r>
        <w:rPr>
          <w:b/>
          <w:bCs/>
        </w:rPr>
        <w:t xml:space="preserve">Video:</w:t>
      </w:r>
      <w:r>
        <w:t xml:space="preserve"> </w:t>
      </w:r>
      <w:hyperlink r:id="rId36">
        <w:r>
          <w:rPr>
            <w:rStyle w:val="Hyperlink"/>
          </w:rPr>
          <w:t xml:space="preserve">Policy Enforcement Overview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Where to Enforce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Policy Ordering</w:t>
        </w:r>
      </w:hyperlink>
    </w:p>
    <w:bookmarkEnd w:id="39"/>
    <w:bookmarkStart w:id="43" w:name="Xc589e85b38574c18ba7802ae2bdec9c83d7e320"/>
    <w:p>
      <w:pPr>
        <w:pStyle w:val="Heading3"/>
      </w:pPr>
      <w:r>
        <w:t xml:space="preserve">Step B4 — Model policy in CSW, then enforce on firewall</w:t>
      </w:r>
    </w:p>
    <w:p>
      <w:pPr>
        <w:pStyle w:val="Compact"/>
        <w:numPr>
          <w:ilvl w:val="0"/>
          <w:numId w:val="1010"/>
        </w:numPr>
      </w:pPr>
      <w:r>
        <w:t xml:space="preserve">Build or accept</w:t>
      </w:r>
      <w:r>
        <w:t xml:space="preserve"> </w:t>
      </w:r>
      <w:r>
        <w:rPr>
          <w:b/>
          <w:bCs/>
        </w:rPr>
        <w:t xml:space="preserve">ADM-recommended</w:t>
      </w:r>
      <w:r>
        <w:t xml:space="preserve"> </w:t>
      </w:r>
      <w:r>
        <w:t xml:space="preserve">policies in a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tied to the scope.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Simulate / monitor</w:t>
      </w:r>
      <w:r>
        <w:t xml:space="preserve"> </w:t>
      </w:r>
      <w:r>
        <w:t xml:space="preserve">— review impact in CSW UI and Policy Visual.</w:t>
      </w:r>
    </w:p>
    <w:p>
      <w:pPr>
        <w:pStyle w:val="Compact"/>
        <w:numPr>
          <w:ilvl w:val="0"/>
          <w:numId w:val="1010"/>
        </w:numPr>
      </w:pPr>
      <w:r>
        <w:t xml:space="preserve">When ready,</w:t>
      </w:r>
      <w:r>
        <w:t xml:space="preserve"> </w:t>
      </w:r>
      <w:r>
        <w:rPr>
          <w:b/>
          <w:bCs/>
        </w:rPr>
        <w:t xml:space="preserve">enable enforcement</w:t>
      </w:r>
      <w:r>
        <w:t xml:space="preserve"> </w:t>
      </w:r>
      <w:r>
        <w:t xml:space="preserve">on the workspace (customer change window).</w:t>
      </w:r>
    </w:p>
    <w:p>
      <w:pPr>
        <w:pStyle w:val="Compact"/>
        <w:numPr>
          <w:ilvl w:val="0"/>
          <w:numId w:val="1010"/>
        </w:numPr>
      </w:pPr>
      <w:r>
        <w:t xml:space="preserve">CSW updates</w:t>
      </w:r>
      <w:r>
        <w:t xml:space="preserve"> </w:t>
      </w:r>
      <w:r>
        <w:rPr>
          <w:b/>
          <w:bCs/>
        </w:rPr>
        <w:t xml:space="preserve">Dynamic Objects</w:t>
      </w:r>
      <w:r>
        <w:t xml:space="preserve"> </w:t>
      </w:r>
      <w:r>
        <w:t xml:space="preserve">in FMC and</w:t>
      </w:r>
      <w:r>
        <w:t xml:space="preserve"> </w:t>
      </w:r>
      <w:r>
        <w:rPr>
          <w:b/>
          <w:bCs/>
        </w:rPr>
        <w:t xml:space="preserve">deploys</w:t>
      </w:r>
      <w:r>
        <w:t xml:space="preserve"> </w:t>
      </w:r>
      <w:r>
        <w:t xml:space="preserve">to FTD — verify in FMC that deployment succeeds.</w:t>
      </w:r>
    </w:p>
    <w:p>
      <w:pPr>
        <w:pStyle w:val="FirstParagraph"/>
      </w:pPr>
      <w:r>
        <w:rPr>
          <w:b/>
          <w:bCs/>
        </w:rPr>
        <w:t xml:space="preserve">Videos:</w:t>
      </w:r>
      <w:r>
        <w:t xml:space="preserve"> </w:t>
      </w:r>
      <w:hyperlink r:id="rId40">
        <w:r>
          <w:rPr>
            <w:rStyle w:val="Hyperlink"/>
          </w:rPr>
          <w:t xml:space="preserve">Policy Lifecycle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Policy Validation and Analysis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Policy Visual and Quick Analysis</w:t>
        </w:r>
      </w:hyperlink>
    </w:p>
    <w:bookmarkEnd w:id="43"/>
    <w:bookmarkStart w:id="44" w:name="step-b5--validate-enforcement"/>
    <w:p>
      <w:pPr>
        <w:pStyle w:val="Heading3"/>
      </w:pPr>
      <w:r>
        <w:t xml:space="preserve">Step B5 — Validate enforcement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business flow</w:t>
            </w:r>
          </w:p>
        </w:tc>
        <w:tc>
          <w:tcPr/>
          <w:p>
            <w:pPr>
              <w:pStyle w:val="Compact"/>
            </w:pPr>
            <w:r>
              <w:t xml:space="preserve">Passes; CSW/FMC show permit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Intentionally denied flow</w:t>
            </w:r>
          </w:p>
        </w:tc>
        <w:tc>
          <w:tcPr/>
          <w:p>
            <w:pPr>
              <w:pStyle w:val="Compact"/>
            </w:pPr>
            <w:r>
              <w:t xml:space="preserve">Blocked at FTD; CSW</w:t>
            </w:r>
            <w:r>
              <w:t xml:space="preserve"> </w:t>
            </w:r>
            <w:r>
              <w:rPr>
                <w:b/>
                <w:bCs/>
              </w:rPr>
              <w:t xml:space="preserve">Denied Connections</w:t>
            </w:r>
            <w:r>
              <w:t xml:space="preserve"> </w:t>
            </w:r>
            <w:r>
              <w:t xml:space="preserve">/ flow disposition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workload in scope</w:t>
            </w:r>
          </w:p>
        </w:tc>
        <w:tc>
          <w:tcPr/>
          <w:p>
            <w:pPr>
              <w:pStyle w:val="Compact"/>
            </w:pPr>
            <w:r>
              <w:t xml:space="preserve">Dynamic object membership updates after inventory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deployment</w:t>
            </w:r>
          </w:p>
        </w:tc>
        <w:tc>
          <w:tcPr/>
          <w:p>
            <w:pPr>
              <w:pStyle w:val="Compact"/>
            </w:pPr>
            <w:r>
              <w:t xml:space="preserve">No manual redeploy needed for CSW-driven changes (per integration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7" w:name="X3747f539cf7876de6332e733b290defec81c2d3"/>
    <w:p>
      <w:pPr>
        <w:pStyle w:val="Heading2"/>
      </w:pPr>
      <w:r>
        <w:t xml:space="preserve">Recommended video learning path (firewall integration)</w:t>
      </w:r>
    </w:p>
    <w:p>
      <w:pPr>
        <w:pStyle w:val="FirstParagraph"/>
      </w:pPr>
      <w:r>
        <w:t xml:space="preserve">Watch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Connector Overview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Connector Deployment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Secure Workload &amp; Firewall Integration — Part 1 (design)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Part 2 (deployment patterns)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Part 3 (enforcement &amp; operations)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Workload &amp; Secure Firewall Integration Updates</w:t>
            </w:r>
            <w:r>
              <w:t xml:space="preserve"> </w:t>
            </w:r>
            <w:r>
              <w:t xml:space="preserve">(current behavior)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FMC Integration (Edge / Ingest / Appliance)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Where to Enforce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Watch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Policy Enforcement Overview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Watch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Read:</w:t>
      </w:r>
      <w:r>
        <w:t xml:space="preserve"> </w:t>
      </w:r>
      <w:hyperlink r:id="rId12">
        <w:r>
          <w:rPr>
            <w:rStyle w:val="Hyperlink"/>
          </w:rPr>
          <w:t xml:space="preserve">Secure Workload &amp; Secure Firewall White Paper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Integration deep dive (secure.cisco.com)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8" w:name="X8503bd180c3f4bba75add75d22ba1cb7f3ba54a"/>
    <w:p>
      <w:pPr>
        <w:pStyle w:val="Heading2"/>
      </w:pPr>
      <w:r>
        <w:t xml:space="preserve">NetFlow connector vs Secure Firewall connector vs API flowsearch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Timeout / scale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Firewall Connector (NSEL)</w:t>
            </w:r>
          </w:p>
        </w:tc>
        <w:tc>
          <w:tcPr/>
          <w:p>
            <w:pPr>
              <w:pStyle w:val="Compact"/>
            </w:pPr>
            <w:r>
              <w:t xml:space="preserve">Agentless visibility from</w:t>
            </w:r>
            <w:r>
              <w:t xml:space="preserve"> </w:t>
            </w:r>
            <w:r>
              <w:rPr>
                <w:b/>
                <w:bCs/>
              </w:rPr>
              <w:t xml:space="preserve">FTD/ASA</w:t>
            </w:r>
          </w:p>
        </w:tc>
        <w:tc>
          <w:tcPr/>
          <w:p>
            <w:pPr>
              <w:pStyle w:val="Compact"/>
            </w:pPr>
            <w:r>
              <w:t xml:space="preserve">Real-time ingest to CSW; plan ~45k fps per connector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NetFlow connector</w:t>
            </w:r>
          </w:p>
        </w:tc>
        <w:tc>
          <w:tcPr/>
          <w:p>
            <w:pPr>
              <w:pStyle w:val="Compact"/>
            </w:pPr>
            <w:r>
              <w:t xml:space="preserve">Flows from</w:t>
            </w:r>
            <w:r>
              <w:t xml:space="preserve"> </w:t>
            </w:r>
            <w:r>
              <w:rPr>
                <w:b/>
                <w:bCs/>
              </w:rPr>
              <w:t xml:space="preserve">switches/routers</w:t>
            </w:r>
            <w:r>
              <w:t xml:space="preserve"> </w:t>
            </w:r>
            <w:r>
              <w:t xml:space="preserve">(v9/IPFIX)</w:t>
            </w:r>
          </w:p>
        </w:tc>
        <w:tc>
          <w:tcPr/>
          <w:p>
            <w:pPr>
              <w:pStyle w:val="Compact"/>
            </w:pPr>
            <w:r>
              <w:t xml:space="preserve">Up to ~15k fps per connector (CSW 4.0 doc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agents</w:t>
            </w:r>
          </w:p>
        </w:tc>
        <w:tc>
          <w:tcPr/>
          <w:p>
            <w:pPr>
              <w:pStyle w:val="Compact"/>
            </w:pPr>
            <w:r>
              <w:t xml:space="preserve">Process-level + host enforcement</w:t>
            </w:r>
          </w:p>
        </w:tc>
        <w:tc>
          <w:tcPr/>
          <w:p>
            <w:pPr>
              <w:pStyle w:val="Compact"/>
            </w:pPr>
            <w:r>
              <w:t xml:space="preserve">Best fidelity; not a NetFlow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OpenAPI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flowsearch</w:t>
            </w:r>
          </w:p>
        </w:tc>
        <w:tc>
          <w:tcPr/>
          <w:p>
            <w:pPr>
              <w:pStyle w:val="Compact"/>
            </w:pPr>
            <w:r>
              <w:t xml:space="preserve">Export/query</w:t>
            </w:r>
            <w:r>
              <w:t xml:space="preserve"> </w:t>
            </w:r>
            <w:r>
              <w:rPr>
                <w:b/>
                <w:bCs/>
              </w:rPr>
              <w:t xml:space="preserve">already ingested</w:t>
            </w:r>
            <w:r>
              <w:t xml:space="preserve"> </w:t>
            </w:r>
            <w:r>
              <w:t xml:space="preserve">flows</w:t>
            </w:r>
          </w:p>
        </w:tc>
        <w:tc>
          <w:tcPr/>
          <w:p>
            <w:pPr>
              <w:pStyle w:val="Compact"/>
            </w:pPr>
            <w:r>
              <w:t xml:space="preserve">Paginate (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~500 +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≤24h per call; use 1h chunks for large pulls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substitute for connector ingest</w:t>
            </w:r>
          </w:p>
        </w:tc>
      </w:tr>
    </w:tbl>
    <w:p>
      <w:pPr>
        <w:pStyle w:val="BodyText"/>
      </w:pPr>
      <w:r>
        <w:t xml:space="preserve">If API</w:t>
      </w:r>
      <w:r>
        <w:t xml:space="preserve"> </w:t>
      </w:r>
      <w:r>
        <w:rPr>
          <w:rStyle w:val="VerbatimChar"/>
          <w:b/>
          <w:bCs/>
        </w:rPr>
        <w:t xml:space="preserve">flowsearch</w:t>
      </w:r>
      <w:r>
        <w:t xml:space="preserve"> </w:t>
      </w:r>
      <w:r>
        <w:t xml:space="preserve">times out when pulling large NetFlow-derived datasets, use</w:t>
      </w:r>
      <w:r>
        <w:t xml:space="preserve"> </w:t>
      </w:r>
      <w:r>
        <w:rPr>
          <w:b/>
          <w:bCs/>
        </w:rPr>
        <w:t xml:space="preserve">pagination and time chunks</w:t>
      </w:r>
      <w:r>
        <w:t xml:space="preserve"> </w:t>
      </w:r>
      <w:r>
        <w:t xml:space="preserve">— see CSW POV tooling guidance. Connector ingest and API export are different stages.</w:t>
      </w:r>
    </w:p>
    <w:p>
      <w:r>
        <w:pict>
          <v:rect style="width:0;height:1.5pt" o:hralign="center" o:hrstd="t" o:hr="t"/>
        </w:pict>
      </w:r>
    </w:p>
    <w:bookmarkEnd w:id="48"/>
    <w:bookmarkStart w:id="49" w:name="X265569af6431ab80d438b1cdbc937077c621f6c"/>
    <w:p>
      <w:pPr>
        <w:pStyle w:val="Heading2"/>
      </w:pPr>
      <w:r>
        <w:t xml:space="preserve">POV evidence checklist (firewall integration)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 enabled + heartbeat healthy</w:t>
            </w:r>
          </w:p>
        </w:tc>
        <w:tc>
          <w:tcPr/>
          <w:p>
            <w:pPr>
              <w:pStyle w:val="Compact"/>
            </w:pPr>
            <w:r>
              <w:t xml:space="preserve">Ingest path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flows in Flow Analysis (NSEL source)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map for scoped app</w:t>
            </w:r>
          </w:p>
        </w:tc>
        <w:tc>
          <w:tcPr/>
          <w:p>
            <w:pPr>
              <w:pStyle w:val="Compact"/>
            </w:pPr>
            <w:r>
              <w:t xml:space="preserve">Discovery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FMC connector connected</w:t>
            </w:r>
          </w:p>
        </w:tc>
        <w:tc>
          <w:tcPr/>
          <w:p>
            <w:pPr>
              <w:pStyle w:val="Compact"/>
            </w:pPr>
            <w:r>
              <w:t xml:space="preserve">Enforcement path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↔ ACP mapping screenshot</w:t>
            </w:r>
          </w:p>
        </w:tc>
        <w:tc>
          <w:tcPr/>
          <w:p>
            <w:pPr>
              <w:pStyle w:val="Compact"/>
            </w:pPr>
            <w:r>
              <w:t xml:space="preserve">Topology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Monitor-mode policy stats</w:t>
            </w:r>
          </w:p>
        </w:tc>
        <w:tc>
          <w:tcPr/>
          <w:p>
            <w:pPr>
              <w:pStyle w:val="Compact"/>
            </w:pPr>
            <w:r>
              <w:t xml:space="preserve">Safe pre-enforce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Post-enforce deny test + FMC hit</w:t>
            </w:r>
          </w:p>
        </w:tc>
        <w:tc>
          <w:tcPr/>
          <w:p>
            <w:pPr>
              <w:pStyle w:val="Compact"/>
            </w:pPr>
            <w:r>
              <w:t xml:space="preserve">Enforcement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Allowed transaction test</w:t>
            </w:r>
          </w:p>
        </w:tc>
        <w:tc>
          <w:tcPr/>
          <w:p>
            <w:pPr>
              <w:pStyle w:val="Compact"/>
            </w:pPr>
            <w:r>
              <w:t xml:space="preserve">No business break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Pitfall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</w:t>
            </w:r>
            <w:r>
              <w:t xml:space="preserve"> </w:t>
            </w:r>
            <w:r>
              <w:rPr>
                <w:b/>
                <w:bCs/>
              </w:rPr>
              <w:t xml:space="preserve">NetFlow connector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Secure Firewall connector</w:t>
            </w:r>
          </w:p>
        </w:tc>
        <w:tc>
          <w:tcPr/>
          <w:p>
            <w:pPr>
              <w:pStyle w:val="Compact"/>
            </w:pPr>
            <w:r>
              <w:t xml:space="preserve">Use Secure Firewall connector for NSEL from FTD/ASA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Expecting</w:t>
            </w:r>
            <w:r>
              <w:t xml:space="preserve"> </w:t>
            </w:r>
            <w:r>
              <w:rPr>
                <w:b/>
                <w:bCs/>
              </w:rPr>
              <w:t xml:space="preserve">NSEL alone</w:t>
            </w:r>
            <w:r>
              <w:t xml:space="preserve"> </w:t>
            </w:r>
            <w:r>
              <w:t xml:space="preserve">to enforce policy</w:t>
            </w:r>
          </w:p>
        </w:tc>
        <w:tc>
          <w:tcPr/>
          <w:p>
            <w:pPr>
              <w:pStyle w:val="Compact"/>
            </w:pPr>
            <w:r>
              <w:t xml:space="preserve">Enforcement requires</w:t>
            </w:r>
            <w:r>
              <w:t xml:space="preserve"> </w:t>
            </w:r>
            <w:r>
              <w:rPr>
                <w:b/>
                <w:bCs/>
              </w:rPr>
              <w:t xml:space="preserve">FMC connector</w:t>
            </w:r>
            <w:r>
              <w:t xml:space="preserve"> </w:t>
            </w:r>
            <w:r>
              <w:t xml:space="preserve">+ workspace 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Ingest</w:t>
            </w:r>
            <w:r>
              <w:t xml:space="preserve"> </w:t>
            </w:r>
            <w:r>
              <w:rPr>
                <w:b/>
                <w:bCs/>
              </w:rPr>
              <w:t xml:space="preserve">IP:port</w:t>
            </w:r>
            <w:r>
              <w:t xml:space="preserve"> </w:t>
            </w:r>
            <w:r>
              <w:t xml:space="preserve">on firewall</w:t>
            </w:r>
          </w:p>
        </w:tc>
        <w:tc>
          <w:tcPr/>
          <w:p>
            <w:pPr>
              <w:pStyle w:val="Compact"/>
            </w:pPr>
            <w:r>
              <w:t xml:space="preserve">Copy from CSW connector details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 vs Override</w:t>
            </w:r>
            <w:r>
              <w:t xml:space="preserve"> </w:t>
            </w:r>
            <w:r>
              <w:t xml:space="preserve">misunderstood</w:t>
            </w:r>
          </w:p>
        </w:tc>
        <w:tc>
          <w:tcPr/>
          <w:p>
            <w:pPr>
              <w:pStyle w:val="Compact"/>
            </w:pPr>
            <w:r>
              <w:t xml:space="preserve">Align with security architecture before first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Pulling all flows via</w:t>
            </w:r>
            <w:r>
              <w:t xml:space="preserve"> </w:t>
            </w:r>
            <w:r>
              <w:rPr>
                <w:b/>
                <w:bCs/>
              </w:rPr>
              <w:t xml:space="preserve">API</w:t>
            </w:r>
            <w:r>
              <w:t xml:space="preserve"> </w:t>
            </w:r>
            <w:r>
              <w:t xml:space="preserve">in one call</w:t>
            </w:r>
          </w:p>
        </w:tc>
        <w:tc>
          <w:tcPr/>
          <w:p>
            <w:pPr>
              <w:pStyle w:val="Compact"/>
            </w:pPr>
            <w:r>
              <w:t xml:space="preserve">Paginate; chunk time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Skipping</w:t>
            </w:r>
            <w:r>
              <w:t xml:space="preserve"> </w:t>
            </w:r>
            <w:r>
              <w:rPr>
                <w:b/>
                <w:bCs/>
              </w:rPr>
              <w:t xml:space="preserve">Secure Connector</w:t>
            </w:r>
            <w:r>
              <w:t xml:space="preserve"> </w:t>
            </w:r>
            <w:r>
              <w:t xml:space="preserve">on SaaS</w:t>
            </w:r>
          </w:p>
        </w:tc>
        <w:tc>
          <w:tcPr/>
          <w:p>
            <w:pPr>
              <w:pStyle w:val="Compact"/>
            </w:pPr>
            <w:r>
              <w:t xml:space="preserve">Ingest cannot reach tenant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this as</w:t>
            </w:r>
            <w:r>
              <w:t xml:space="preserve"> </w:t>
            </w:r>
            <w:r>
              <w:rPr>
                <w:b/>
                <w:bCs/>
              </w:rPr>
              <w:t xml:space="preserve">ACI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ACI uses separate connector and policy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official-cisco-documentation"/>
    <w:p>
      <w:pPr>
        <w:pStyle w:val="Heading2"/>
      </w:pPr>
      <w:r>
        <w:t xml:space="preserve">Official Cisco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4.0 SaaS — Connectors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Configure and Manage Connectors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CSW + Secure Firewall white paper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sec-workload-firewall-wp.html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CSW + FMC integration guide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b-csw-fmc-integration-guide.html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ASA NSEL configuration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ASA NetFlow Implementation Guide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11"/>
        </w:numPr>
      </w:pPr>
      <w:hyperlink r:id="rId52">
        <w:r>
          <w:rPr>
            <w:rStyle w:val="Hyperlink"/>
          </w:rPr>
          <w:t xml:space="preserve">CSW-User-Education</w:t>
        </w:r>
      </w:hyperlink>
      <w:r>
        <w:t xml:space="preserve"> </w:t>
      </w:r>
      <w:r>
        <w:t xml:space="preserve">— this guide and video library</w:t>
      </w:r>
    </w:p>
    <w:p>
      <w:pPr>
        <w:pStyle w:val="Compact"/>
        <w:numPr>
          <w:ilvl w:val="0"/>
          <w:numId w:val="1011"/>
        </w:numPr>
      </w:pPr>
      <w:hyperlink r:id="rId53">
        <w:r>
          <w:rPr>
            <w:rStyle w:val="Hyperlink"/>
          </w:rPr>
          <w:t xml:space="preserve">CSW-Policy-Lifecycle</w:t>
        </w:r>
      </w:hyperlink>
      <w:r>
        <w:t xml:space="preserve"> </w:t>
      </w:r>
      <w:r>
        <w:t xml:space="preserve">— ADM → Monitor → Enforce workflow</w:t>
      </w:r>
    </w:p>
    <w:p>
      <w:pPr>
        <w:pStyle w:val="Compact"/>
        <w:numPr>
          <w:ilvl w:val="0"/>
          <w:numId w:val="1011"/>
        </w:numPr>
      </w:pPr>
      <w:hyperlink r:id="rId54">
        <w:r>
          <w:rPr>
            <w:rStyle w:val="Hyperlink"/>
          </w:rPr>
          <w:t xml:space="preserve">csw-logs-check</w:t>
        </w:r>
      </w:hyperlink>
      <w:r>
        <w:t xml:space="preserve"> </w:t>
      </w:r>
      <w:r>
        <w:t xml:space="preserve">— host agent enforcement timing (when agents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deployed)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github.com/chandrapati/CSW-Policy-Lifecycle" TargetMode="External" /><Relationship Type="http://schemas.openxmlformats.org/officeDocument/2006/relationships/hyperlink" Id="rId52" Target="https://github.com/chandrapati/CSW-User-Education" TargetMode="External" /><Relationship Type="http://schemas.openxmlformats.org/officeDocument/2006/relationships/hyperlink" Id="rId54" Target="https://github.com/chandrapati/csw-logs-check" TargetMode="External" /><Relationship Type="http://schemas.openxmlformats.org/officeDocument/2006/relationships/hyperlink" Id="rId46" Target="https://secure.cisco.com/secure-workload/docs/secure-workload-whitepaper" TargetMode="External" /><Relationship Type="http://schemas.openxmlformats.org/officeDocument/2006/relationships/hyperlink" Id="rId12" Target="https://www.cisco.com/c/en/us/products/collateral/security/secure-workload/sec-workload-firewall-wp.html" TargetMode="External" /><Relationship Type="http://schemas.openxmlformats.org/officeDocument/2006/relationships/hyperlink" Id="rId19" Target="https://www.cisco.com/c/en/us/td/docs/security/asa/asa-netflow/asa-netflow.html" TargetMode="External" /><Relationship Type="http://schemas.openxmlformats.org/officeDocument/2006/relationships/hyperlink" Id="rId34" Target="https://www.cisco.com/c/en/us/td/docs/security/workload_security/secure_workload/integration/guide/b-csw-fmc-integration-guide.html" TargetMode="External" /><Relationship Type="http://schemas.openxmlformats.org/officeDocument/2006/relationships/hyperlink" Id="rId9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29" Target="https://www.youtube.com/watch?v=Jzzblea25UA" TargetMode="External" /><Relationship Type="http://schemas.openxmlformats.org/officeDocument/2006/relationships/hyperlink" Id="rId25" Target="https://www.youtube.com/watch?v=Tuw06kPjeyQ" TargetMode="External" /><Relationship Type="http://schemas.openxmlformats.org/officeDocument/2006/relationships/hyperlink" Id="rId22" Target="https://www.youtube.com/watch?v=X65mwN7kJGg" TargetMode="External" /><Relationship Type="http://schemas.openxmlformats.org/officeDocument/2006/relationships/hyperlink" Id="rId10" Target="https://www.youtube.com/watch?v=u7jh3Zw1hlg" TargetMode="External" /><Relationship Type="http://schemas.openxmlformats.org/officeDocument/2006/relationships/hyperlink" Id="rId42" Target="https://www.youtube.com/watch?v=uBxrJaVLHy4" TargetMode="External" /><Relationship Type="http://schemas.openxmlformats.org/officeDocument/2006/relationships/hyperlink" Id="rId21" Target="https://www.youtube.com/watch?v=xpbg3s0vrcI" TargetMode="External" /><Relationship Type="http://schemas.openxmlformats.org/officeDocument/2006/relationships/hyperlink" Id="rId32" Target="https://youtu.be/13AZ33dpCxU" TargetMode="External" /><Relationship Type="http://schemas.openxmlformats.org/officeDocument/2006/relationships/hyperlink" Id="rId28" Target="https://youtu.be/4wa7PiHGUnM" TargetMode="External" /><Relationship Type="http://schemas.openxmlformats.org/officeDocument/2006/relationships/hyperlink" Id="rId36" Target="https://youtu.be/A8rOXQ-y4Cw" TargetMode="External" /><Relationship Type="http://schemas.openxmlformats.org/officeDocument/2006/relationships/hyperlink" Id="rId40" Target="https://youtu.be/Cm-cUwRorDc" TargetMode="External" /><Relationship Type="http://schemas.openxmlformats.org/officeDocument/2006/relationships/hyperlink" Id="rId41" Target="https://youtu.be/DgaZpQ0lnAI" TargetMode="External" /><Relationship Type="http://schemas.openxmlformats.org/officeDocument/2006/relationships/hyperlink" Id="rId16" Target="https://youtu.be/H0as2ppS84Q" TargetMode="External" /><Relationship Type="http://schemas.openxmlformats.org/officeDocument/2006/relationships/hyperlink" Id="rId15" Target="https://youtu.be/H6QxuouzeC8" TargetMode="External" /><Relationship Type="http://schemas.openxmlformats.org/officeDocument/2006/relationships/hyperlink" Id="rId27" Target="https://youtu.be/HGvtBonFiE4" TargetMode="External" /><Relationship Type="http://schemas.openxmlformats.org/officeDocument/2006/relationships/hyperlink" Id="rId23" Target="https://youtu.be/IEqbz44YvOQ" TargetMode="External" /><Relationship Type="http://schemas.openxmlformats.org/officeDocument/2006/relationships/hyperlink" Id="rId38" Target="https://youtu.be/fG1Kn1C7QRM" TargetMode="External" /><Relationship Type="http://schemas.openxmlformats.org/officeDocument/2006/relationships/hyperlink" Id="rId37" Target="https://youtu.be/urFJyDERMFs" TargetMode="External" /><Relationship Type="http://schemas.openxmlformats.org/officeDocument/2006/relationships/hyperlink" Id="rId20" Target="https://youtu.be/vdHjAl48S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chandrapati/CSW-Policy-Lifecycle" TargetMode="External" /><Relationship Type="http://schemas.openxmlformats.org/officeDocument/2006/relationships/hyperlink" Id="rId52" Target="https://github.com/chandrapati/CSW-User-Education" TargetMode="External" /><Relationship Type="http://schemas.openxmlformats.org/officeDocument/2006/relationships/hyperlink" Id="rId54" Target="https://github.com/chandrapati/csw-logs-check" TargetMode="External" /><Relationship Type="http://schemas.openxmlformats.org/officeDocument/2006/relationships/hyperlink" Id="rId46" Target="https://secure.cisco.com/secure-workload/docs/secure-workload-whitepaper" TargetMode="External" /><Relationship Type="http://schemas.openxmlformats.org/officeDocument/2006/relationships/hyperlink" Id="rId12" Target="https://www.cisco.com/c/en/us/products/collateral/security/secure-workload/sec-workload-firewall-wp.html" TargetMode="External" /><Relationship Type="http://schemas.openxmlformats.org/officeDocument/2006/relationships/hyperlink" Id="rId19" Target="https://www.cisco.com/c/en/us/td/docs/security/asa/asa-netflow/asa-netflow.html" TargetMode="External" /><Relationship Type="http://schemas.openxmlformats.org/officeDocument/2006/relationships/hyperlink" Id="rId34" Target="https://www.cisco.com/c/en/us/td/docs/security/workload_security/secure_workload/integration/guide/b-csw-fmc-integration-guide.html" TargetMode="External" /><Relationship Type="http://schemas.openxmlformats.org/officeDocument/2006/relationships/hyperlink" Id="rId9" Target="https://www.cisco.com/c/en/us/td/docs/security/workload_security/secure_workload/user-guide/4_0/cisco-secure-workload-user-guide-saas-v40/m-connectors.html" TargetMode="External" /><Relationship Type="http://schemas.openxmlformats.org/officeDocument/2006/relationships/hyperlink" Id="rId29" Target="https://www.youtube.com/watch?v=Jzzblea25UA" TargetMode="External" /><Relationship Type="http://schemas.openxmlformats.org/officeDocument/2006/relationships/hyperlink" Id="rId25" Target="https://www.youtube.com/watch?v=Tuw06kPjeyQ" TargetMode="External" /><Relationship Type="http://schemas.openxmlformats.org/officeDocument/2006/relationships/hyperlink" Id="rId22" Target="https://www.youtube.com/watch?v=X65mwN7kJGg" TargetMode="External" /><Relationship Type="http://schemas.openxmlformats.org/officeDocument/2006/relationships/hyperlink" Id="rId10" Target="https://www.youtube.com/watch?v=u7jh3Zw1hlg" TargetMode="External" /><Relationship Type="http://schemas.openxmlformats.org/officeDocument/2006/relationships/hyperlink" Id="rId42" Target="https://www.youtube.com/watch?v=uBxrJaVLHy4" TargetMode="External" /><Relationship Type="http://schemas.openxmlformats.org/officeDocument/2006/relationships/hyperlink" Id="rId21" Target="https://www.youtube.com/watch?v=xpbg3s0vrcI" TargetMode="External" /><Relationship Type="http://schemas.openxmlformats.org/officeDocument/2006/relationships/hyperlink" Id="rId32" Target="https://youtu.be/13AZ33dpCxU" TargetMode="External" /><Relationship Type="http://schemas.openxmlformats.org/officeDocument/2006/relationships/hyperlink" Id="rId28" Target="https://youtu.be/4wa7PiHGUnM" TargetMode="External" /><Relationship Type="http://schemas.openxmlformats.org/officeDocument/2006/relationships/hyperlink" Id="rId36" Target="https://youtu.be/A8rOXQ-y4Cw" TargetMode="External" /><Relationship Type="http://schemas.openxmlformats.org/officeDocument/2006/relationships/hyperlink" Id="rId40" Target="https://youtu.be/Cm-cUwRorDc" TargetMode="External" /><Relationship Type="http://schemas.openxmlformats.org/officeDocument/2006/relationships/hyperlink" Id="rId41" Target="https://youtu.be/DgaZpQ0lnAI" TargetMode="External" /><Relationship Type="http://schemas.openxmlformats.org/officeDocument/2006/relationships/hyperlink" Id="rId16" Target="https://youtu.be/H0as2ppS84Q" TargetMode="External" /><Relationship Type="http://schemas.openxmlformats.org/officeDocument/2006/relationships/hyperlink" Id="rId15" Target="https://youtu.be/H6QxuouzeC8" TargetMode="External" /><Relationship Type="http://schemas.openxmlformats.org/officeDocument/2006/relationships/hyperlink" Id="rId27" Target="https://youtu.be/HGvtBonFiE4" TargetMode="External" /><Relationship Type="http://schemas.openxmlformats.org/officeDocument/2006/relationships/hyperlink" Id="rId23" Target="https://youtu.be/IEqbz44YvOQ" TargetMode="External" /><Relationship Type="http://schemas.openxmlformats.org/officeDocument/2006/relationships/hyperlink" Id="rId38" Target="https://youtu.be/fG1Kn1C7QRM" TargetMode="External" /><Relationship Type="http://schemas.openxmlformats.org/officeDocument/2006/relationships/hyperlink" Id="rId37" Target="https://youtu.be/urFJyDERMFs" TargetMode="External" /><Relationship Type="http://schemas.openxmlformats.org/officeDocument/2006/relationships/hyperlink" Id="rId20" Target="https://youtu.be/vdHjAl48S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CSW + Cisco Secure Firewall Integration Guide</dc:title>
  <dc:creator>Cisco Secure Workload User Education</dc:creator>
  <cp:keywords/>
  <dcterms:created xsi:type="dcterms:W3CDTF">2026-06-04T18:39:57Z</dcterms:created>
  <dcterms:modified xsi:type="dcterms:W3CDTF">2026-06-04T18:39:57Z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2026-05-27</vt:lpwstr>
  </property>
  <property fmtid="{D5CDD505-2E9C-101B-9397-08002B2CF9AE}" pid="3" name="subtitle">
    <vt:lpwstr>NetFlow (NSEL) visibility and FMC policy enforcement — step by step</vt:lpwstr>
  </property>
</Properties>
</file>