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Cisco Secure Workload + Secure Firewall</w:t>
      </w:r>
    </w:p>
    <w:p>
      <w:pPr>
        <w:pStyle w:val="Subtitle"/>
      </w:pPr>
      <w:r>
        <w:t xml:space="preserve">Executive Summary — Agentless Microsegmentation</w:t>
      </w:r>
    </w:p>
    <w:p>
      <w:pPr>
        <w:pStyle w:val="Date"/>
      </w:pPr>
      <w:r>
        <w:t xml:space="preserve">2026-06-04</w:t>
      </w:r>
    </w:p>
    <w:bookmarkStart w:id="21" w:name="cisco-secure-workload--secure-firewall"/>
    <w:p>
      <w:pPr>
        <w:pStyle w:val="Heading1"/>
      </w:pPr>
      <w:r>
        <w:t xml:space="preserve">Cisco Secure Workload + Secure Firewall</w:t>
      </w:r>
    </w:p>
    <w:p>
      <w:pPr>
        <w:pStyle w:val="FirstParagraph"/>
      </w:pPr>
      <w:r>
        <w:rPr>
          <w:b/>
          <w:bCs/>
        </w:rPr>
        <w:t xml:space="preserve">Executive summary for security and network leadership</w:t>
      </w:r>
    </w:p>
    <w:p>
      <w:r>
        <w:pict>
          <v:rect style="width:0;height:1.5pt" o:hralign="center" o:hrstd="t" o:hr="t"/>
        </w:pic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East-west traffic between application workloads is often unrestricted once an attacker is inside the network. Perimeter firewalls do not stop lateral movement. Many workloads cannot run host agents — legacy operating systems, appliances, and restricted environments — leaving gaps in segmentation coverage.</w:t>
      </w:r>
    </w:p>
    <w:bookmarkEnd w:id="9"/>
    <w:bookmarkStart w:id="10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Cisco Secure Workload (CSW)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Cisco Secure Firewall</w:t>
      </w:r>
      <w:r>
        <w:t xml:space="preserve"> </w:t>
      </w:r>
      <w:r>
        <w:t xml:space="preserve">together deliver</w:t>
      </w:r>
      <w:r>
        <w:t xml:space="preserve"> </w:t>
      </w:r>
      <w:r>
        <w:rPr>
          <w:b/>
          <w:bCs/>
        </w:rPr>
        <w:t xml:space="preserve">unified, agentless microsegmentation</w:t>
      </w:r>
      <w:r>
        <w:t xml:space="preserve">: discover how applications communicate, derive least-privilege policy from observed behavior, and enforce on</w:t>
      </w:r>
      <w:r>
        <w:t xml:space="preserve"> </w:t>
      </w:r>
      <w:r>
        <w:rPr>
          <w:b/>
          <w:bCs/>
        </w:rPr>
        <w:t xml:space="preserve">Firepower Threat Defense (FTD)</w:t>
      </w:r>
      <w:r>
        <w:t xml:space="preserve"> </w:t>
      </w:r>
      <w:r>
        <w:t xml:space="preserve">devices managed by</w:t>
      </w:r>
      <w:r>
        <w:t xml:space="preserve"> </w:t>
      </w:r>
      <w:r>
        <w:rPr>
          <w:b/>
          <w:bCs/>
        </w:rPr>
        <w:t xml:space="preserve">Firewall Management Center (FMC)</w:t>
      </w:r>
      <w:r>
        <w:t xml:space="preserve"> </w:t>
      </w:r>
      <w:r>
        <w:t xml:space="preserve">— without breaking legitimate business traffic.</w:t>
      </w:r>
    </w:p>
    <w:p>
      <w:pPr>
        <w:pStyle w:val="BodyText"/>
      </w:pPr>
      <w:r>
        <w:t xml:space="preserve">CSW harmonizes segmentation policy across host firewalls, network firewalls, and cloud controls into one consistent model, reducing attack surface and containing lateral movement.</w:t>
      </w:r>
    </w:p>
    <w:p>
      <w:r>
        <w:pict>
          <v:rect style="width:0;height:1.5pt" o:hralign="center" o:hrstd="t" o:hr="t"/>
        </w:pict>
      </w:r>
    </w:p>
    <w:bookmarkEnd w:id="10"/>
    <w:bookmarkStart w:id="11" w:name="how-it-works-two-paths-one-platform"/>
    <w:p>
      <w:pPr>
        <w:pStyle w:val="Heading2"/>
      </w:pPr>
      <w:r>
        <w:t xml:space="preserve">How it works (two paths, one platform)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Business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Firewalls export</w:t>
            </w:r>
            <w:r>
              <w:t xml:space="preserve"> </w:t>
            </w:r>
            <w:r>
              <w:rPr>
                <w:b/>
                <w:bCs/>
              </w:rPr>
              <w:t xml:space="preserve">NSEL</w:t>
            </w:r>
            <w:r>
              <w:t xml:space="preserve"> </w:t>
            </w:r>
            <w:r>
              <w:t xml:space="preserve">flow telemetry to CSW</w:t>
            </w:r>
          </w:p>
        </w:tc>
        <w:tc>
          <w:tcPr/>
          <w:p>
            <w:pPr>
              <w:pStyle w:val="Compact"/>
            </w:pPr>
            <w:r>
              <w:t xml:space="preserve">See agentless workloads; map application dependencies before enforcing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CSW pushes</w:t>
            </w:r>
            <w:r>
              <w:t xml:space="preserve"> </w:t>
            </w:r>
            <w:r>
              <w:rPr>
                <w:b/>
                <w:bCs/>
              </w:rPr>
              <w:t xml:space="preserve">L3/L4 policy</w:t>
            </w:r>
            <w:r>
              <w:t xml:space="preserve"> </w:t>
            </w:r>
            <w:r>
              <w:t xml:space="preserve">to FTD via FMC</w:t>
            </w:r>
          </w:p>
        </w:tc>
        <w:tc>
          <w:tcPr/>
          <w:p>
            <w:pPr>
              <w:pStyle w:val="Compact"/>
            </w:pPr>
            <w:r>
              <w:t xml:space="preserve">Segment east-west traffic at the network enforcement point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Workloads ──▶ Secure Firewall (FTD) ──NSEL──▶ CSW (discover &amp; model policy)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└──FMC──▶ FTD (enforce)</w:t>
      </w:r>
    </w:p>
    <w:p>
      <w:pPr>
        <w:pStyle w:val="FirstParagraph"/>
      </w:pPr>
      <w:r>
        <w:rPr>
          <w:b/>
          <w:bCs/>
        </w:rPr>
        <w:t xml:space="preserve">SaaS deployments</w:t>
      </w:r>
      <w:r>
        <w:t xml:space="preserve"> </w:t>
      </w:r>
      <w:r>
        <w:t xml:space="preserve">use Cisco</w:t>
      </w:r>
      <w:r>
        <w:t xml:space="preserve"> </w:t>
      </w:r>
      <w:r>
        <w:rPr>
          <w:b/>
          <w:bCs/>
        </w:rPr>
        <w:t xml:space="preserve">Secure Connector</w:t>
      </w:r>
      <w:r>
        <w:t xml:space="preserve"> </w:t>
      </w:r>
      <w:r>
        <w:t xml:space="preserve">to link the cloud CSW tenant with on-premises Ingest appliances and FMC.</w:t>
      </w:r>
    </w:p>
    <w:p>
      <w:r>
        <w:pict>
          <v:rect style="width:0;height:1.5pt" o:hralign="center" o:hrstd="t" o:hr="t"/>
        </w:pict>
      </w:r>
    </w:p>
    <w:bookmarkEnd w:id="11"/>
    <w:bookmarkStart w:id="12" w:name="three-integrated-security-outcomes"/>
    <w:p>
      <w:pPr>
        <w:pStyle w:val="Heading2"/>
      </w:pPr>
      <w:r>
        <w:t xml:space="preserve">Three integrated security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Microsegmentation</w:t>
            </w:r>
          </w:p>
        </w:tc>
        <w:tc>
          <w:tcPr/>
          <w:p>
            <w:pPr>
              <w:pStyle w:val="Compact"/>
            </w:pPr>
            <w:r>
              <w:t xml:space="preserve">Agentless east-west segmentation where host agents are not feasible; supports mixed agent + agentless estates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Patch</w:t>
            </w:r>
          </w:p>
        </w:tc>
        <w:tc>
          <w:tcPr/>
          <w:p>
            <w:pPr>
              <w:pStyle w:val="Compact"/>
            </w:pPr>
            <w:r>
              <w:t xml:space="preserve">Export workload CVE intelligence to FMC; apply compensating IPS rules until permanent patches are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Rapid Threat Containment</w:t>
            </w:r>
          </w:p>
        </w:tc>
        <w:tc>
          <w:tcPr/>
          <w:p>
            <w:pPr>
              <w:pStyle w:val="Compact"/>
            </w:pPr>
            <w:r>
              <w:t xml:space="preserve">FMC detects malicious behavior → automated quarantine via CSW guardrail policies across hosts and firewalls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eployment-patterns-at-a-glance"/>
    <w:p>
      <w:pPr>
        <w:pStyle w:val="Heading2"/>
      </w:pPr>
      <w:r>
        <w:t xml:space="preserve">Deployment patterns (at a glance)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Segmentation scope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 transparent firewall</w:t>
            </w:r>
          </w:p>
        </w:tc>
        <w:tc>
          <w:tcPr/>
          <w:p>
            <w:pPr>
              <w:pStyle w:val="Compact"/>
            </w:pPr>
            <w:r>
              <w:t xml:space="preserve">Intra- + inter-subnet</w:t>
            </w:r>
          </w:p>
        </w:tc>
        <w:tc>
          <w:tcPr/>
          <w:p>
            <w:pPr>
              <w:pStyle w:val="Compact"/>
            </w:pPr>
            <w:r>
              <w:t xml:space="preserve">Fine-grained control; legacy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3 routed firewall</w:t>
            </w:r>
          </w:p>
        </w:tc>
        <w:tc>
          <w:tcPr/>
          <w:p>
            <w:pPr>
              <w:pStyle w:val="Compact"/>
            </w:pPr>
            <w:r>
              <w:t xml:space="preserve">Inter-subnet (zone-level)</w:t>
            </w:r>
          </w:p>
        </w:tc>
        <w:tc>
          <w:tcPr/>
          <w:p>
            <w:pPr>
              <w:pStyle w:val="Compact"/>
            </w:pPr>
            <w:r>
              <w:t xml:space="preserve">Faster time-to-segment; dev / non-prod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hub firewall (AWS / Azure / GCP)</w:t>
            </w:r>
          </w:p>
        </w:tc>
        <w:tc>
          <w:tcPr/>
          <w:p>
            <w:pPr>
              <w:pStyle w:val="Compact"/>
            </w:pPr>
            <w:r>
              <w:t xml:space="preserve">Inter-VPC / inter-VNet</w:t>
            </w:r>
          </w:p>
        </w:tc>
        <w:tc>
          <w:tcPr/>
          <w:p>
            <w:pPr>
              <w:pStyle w:val="Compact"/>
            </w:pPr>
            <w:r>
              <w:t xml:space="preserve">Centralized cloud east-west control</w:t>
            </w:r>
          </w:p>
        </w:tc>
      </w:tr>
    </w:tbl>
    <w:p>
      <w:pPr>
        <w:pStyle w:val="BodyText"/>
      </w:pPr>
      <w:r>
        <w:t xml:space="preserve">CSW supports</w:t>
      </w:r>
      <w:r>
        <w:t xml:space="preserve"> </w:t>
      </w:r>
      <w:r>
        <w:rPr>
          <w:b/>
          <w:bCs/>
        </w:rPr>
        <w:t xml:space="preserve">dual policy management</w:t>
      </w:r>
      <w:r>
        <w:t xml:space="preserve">: CSW owns east-west microsegmentation rules; the network team retains north-south and baseline FMC policies in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mode.</w:t>
      </w:r>
    </w:p>
    <w:p>
      <w:r>
        <w:pict>
          <v:rect style="width:0;height:1.5pt" o:hralign="center" o:hrstd="t" o:hr="t"/>
        </w:pict>
      </w:r>
    </w:p>
    <w:bookmarkEnd w:id="13"/>
    <w:bookmarkStart w:id="14" w:name="key-design-principles"/>
    <w:p>
      <w:pPr>
        <w:pStyle w:val="Heading2"/>
      </w:pPr>
      <w:r>
        <w:t xml:space="preserve">Key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 before enforce</w:t>
      </w:r>
      <w:r>
        <w:t xml:space="preserve"> </w:t>
      </w:r>
      <w:r>
        <w:t xml:space="preserve">— Application Dependency Mapping (ADM) and monitor mode validate policy before production impact.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Topology-aware enforcement</w:t>
      </w:r>
      <w:r>
        <w:t xml:space="preserve"> </w:t>
      </w:r>
      <w:r>
        <w:t xml:space="preserve">— Rules are pushed only to firewalls on the actual traffic path for each application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policy</w:t>
      </w:r>
      <w:r>
        <w:t xml:space="preserve"> </w:t>
      </w:r>
      <w:r>
        <w:t xml:space="preserve">— FMC</w:t>
      </w:r>
      <w:r>
        <w:t xml:space="preserve"> </w:t>
      </w:r>
      <w:r>
        <w:rPr>
          <w:b/>
          <w:bCs/>
        </w:rPr>
        <w:t xml:space="preserve">Dynamic Objects</w:t>
      </w:r>
      <w:r>
        <w:t xml:space="preserve"> </w:t>
      </w:r>
      <w:r>
        <w:t xml:space="preserve">update automatically as workloads are added, moved, or removed; no manual IP list maintenance.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scope per access control policy</w:t>
      </w:r>
      <w:r>
        <w:t xml:space="preserve"> </w:t>
      </w:r>
      <w:r>
        <w:t xml:space="preserve">— Clear ownership boundary between application segmentation and firewall policy sets.</w:t>
      </w:r>
    </w:p>
    <w:p>
      <w:r>
        <w:pict>
          <v:rect style="width:0;height:1.5pt" o:hralign="center" o:hrstd="t" o:hr="t"/>
        </w:pict>
      </w:r>
    </w:p>
    <w:bookmarkEnd w:id="14"/>
    <w:bookmarkStart w:id="15" w:name="what-success-looks-like"/>
    <w:p>
      <w:pPr>
        <w:pStyle w:val="Heading2"/>
      </w:pPr>
      <w:r>
        <w:t xml:space="preserve">What success looks like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Agentless visibility</w:t>
            </w:r>
          </w:p>
        </w:tc>
        <w:tc>
          <w:tcPr/>
          <w:p>
            <w:pPr>
              <w:pStyle w:val="Compact"/>
            </w:pPr>
            <w:r>
              <w:t xml:space="preserve">Flows from firewalls visible in CSW; application dependency map validated by app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safety</w:t>
            </w:r>
          </w:p>
        </w:tc>
        <w:tc>
          <w:tcPr/>
          <w:p>
            <w:pPr>
              <w:pStyle w:val="Compact"/>
            </w:pPr>
            <w:r>
              <w:t xml:space="preserve">Monitor/simulate mode completed; allowed and denied test cases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Segmentation active on FTD; lateral paths blocked; business transactions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FMC deployment automated from CSW; compliance alerts on policy deviation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rerequisites-leadership-checklist"/>
    <w:p>
      <w:pPr>
        <w:pStyle w:val="Heading2"/>
      </w:pPr>
      <w:r>
        <w:t xml:space="preserve">Prerequisites (leadership checklist)</w:t>
      </w:r>
    </w:p>
    <w:p>
      <w:pPr>
        <w:pStyle w:val="Compact"/>
        <w:numPr>
          <w:ilvl w:val="0"/>
          <w:numId w:val="1002"/>
        </w:numPr>
      </w:pPr>
      <w:r>
        <w:t xml:space="preserve">Cisco Secure Workload tenant (SaaS or on-premises)</w:t>
      </w:r>
    </w:p>
    <w:p>
      <w:pPr>
        <w:pStyle w:val="Compact"/>
        <w:numPr>
          <w:ilvl w:val="0"/>
          <w:numId w:val="1002"/>
        </w:numPr>
      </w:pPr>
      <w:r>
        <w:t xml:space="preserve">Secure Workload</w:t>
      </w:r>
      <w:r>
        <w:t xml:space="preserve"> </w:t>
      </w:r>
      <w:r>
        <w:rPr>
          <w:b/>
          <w:bCs/>
        </w:rPr>
        <w:t xml:space="preserve">Ingest appliance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Secure Connector</w:t>
      </w:r>
      <w:r>
        <w:t xml:space="preserve"> </w:t>
      </w:r>
      <w:r>
        <w:t xml:space="preserve">(SaaS)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FMC-managed FTD</w:t>
      </w:r>
      <w:r>
        <w:t xml:space="preserve"> </w:t>
      </w:r>
      <w:r>
        <w:t xml:space="preserve">devices in scope with verified deploy path</w:t>
      </w:r>
    </w:p>
    <w:p>
      <w:pPr>
        <w:pStyle w:val="Compact"/>
        <w:numPr>
          <w:ilvl w:val="0"/>
          <w:numId w:val="1002"/>
        </w:numPr>
      </w:pPr>
      <w:r>
        <w:t xml:space="preserve">Application scope and ownership defined before enforcement</w:t>
      </w:r>
    </w:p>
    <w:p>
      <w:pPr>
        <w:pStyle w:val="Compact"/>
        <w:numPr>
          <w:ilvl w:val="0"/>
          <w:numId w:val="1002"/>
        </w:numPr>
      </w:pPr>
      <w:r>
        <w:t xml:space="preserve">Change window and rollback plan for first enforce wave</w:t>
      </w:r>
    </w:p>
    <w:p>
      <w:r>
        <w:pict>
          <v:rect style="width:0;height:1.5pt" o:hralign="center" o:hrstd="t" o:hr="t"/>
        </w:pict>
      </w:r>
    </w:p>
    <w:bookmarkEnd w:id="16"/>
    <w:bookmarkStart w:id="20" w:name="official-references"/>
    <w:p>
      <w:pPr>
        <w:pStyle w:val="Heading2"/>
      </w:pPr>
      <w:r>
        <w:t xml:space="preserve">Official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Workload &amp; Firewall deep dive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secure.cisco.com whitepaper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FMC integration guide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Cisco.com integration guide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Step-by-step practitioner guide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GitHub — CSW-Secure-Firewall-Integration-Guide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Companion summary material — not official Cisco product documentation. Validate design, supported versions, and licensing with your Cisco account team before production decisions.</w:t>
      </w:r>
    </w:p>
    <w:p>
      <w:pPr>
        <w:pStyle w:val="FirstParagraph"/>
      </w:pPr>
      <w:r>
        <w:rPr>
          <w:b/>
          <w:bCs/>
        </w:rPr>
        <w:t xml:space="preserve">Cisco Secure Workload + Secure Firewall</w:t>
      </w:r>
      <w:r>
        <w:t xml:space="preserve"> </w:t>
      </w:r>
      <w:r>
        <w:t xml:space="preserve">· Executive Summary · June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github.com/chandrapati/CSW-Secure-Firewall-Integration-Guide" TargetMode="External" /><Relationship Type="http://schemas.openxmlformats.org/officeDocument/2006/relationships/hyperlink" Id="rId17" Target="https://secure.cisco.com/secure-workload/docs/secure-workload-whitepaper" TargetMode="External" /><Relationship Type="http://schemas.openxmlformats.org/officeDocument/2006/relationships/hyperlink" Id="rId18" Target="https://www.cisco.com/c/en/us/td/docs/security/workload_security/secure_workload/integration/fmc/cisco-secure-workload-and-fmc-integration-gui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chandrapati/CSW-Secure-Firewall-Integration-Guide" TargetMode="External" /><Relationship Type="http://schemas.openxmlformats.org/officeDocument/2006/relationships/hyperlink" Id="rId17" Target="https://secure.cisco.com/secure-workload/docs/secure-workload-whitepaper" TargetMode="External" /><Relationship Type="http://schemas.openxmlformats.org/officeDocument/2006/relationships/hyperlink" Id="rId18" Target="https://www.cisco.com/c/en/us/td/docs/security/workload_security/secure_workload/integration/fmc/cisco-secure-workload-and-fmc-integration-gui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Secure Workload + Secure Firewall</dc:title>
  <dc:creator/>
  <cp:keywords/>
  <dcterms:created xsi:type="dcterms:W3CDTF">2026-06-04T18:54:29Z</dcterms:created>
  <dcterms:modified xsi:type="dcterms:W3CDTF">2026-06-04T18:54:29Z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  <property fmtid="{D5CDD505-2E9C-101B-9397-08002B2CF9AE}" pid="3" name="subtitle">
    <vt:lpwstr>Executive Summary — Agentless Microsegmentation</vt:lpwstr>
  </property>
</Properties>
</file>