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sw-proof-of-value-findings--customer1"/>
    <w:p>
      <w:pPr>
        <w:pStyle w:val="Heading1"/>
      </w:pPr>
      <w:r>
        <w:t xml:space="preserve">CSW Proof-of-Value Findings — customer1</w:t>
      </w:r>
    </w:p>
    <w:p>
      <w:pPr>
        <w:pStyle w:val="FirstParagraph"/>
      </w:pPr>
      <w:r>
        <w:rPr>
          <w:i/>
          <w:iCs/>
        </w:rPr>
        <w:t xml:space="preserve">Generated 2026-05-01T18:30:00Z from live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https://csw.customer1.example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Use this as the talk-track for the readout meeting; it is intentionally</w:t>
      </w:r>
      <w:r>
        <w:rPr>
          <w:i/>
          <w:iCs/>
        </w:rPr>
        <w:t xml:space="preserve"> </w:t>
      </w:r>
      <w:r>
        <w:rPr>
          <w:i/>
          <w:iCs/>
        </w:rPr>
        <w:t xml:space="preserve">denser than the CISO brief.</w:t>
      </w:r>
    </w:p>
    <w:p>
      <w:r>
        <w:pict>
          <v:rect style="width:0;height:1.5pt" o:hralign="center" o:hrstd="t" o:hr="t"/>
        </w:pict>
      </w:r>
    </w:p>
    <w:bookmarkStart w:id="9" w:name="what-we-looked-at"/>
    <w:p>
      <w:pPr>
        <w:pStyle w:val="Heading2"/>
      </w:pPr>
      <w:r>
        <w:t xml:space="preserve">What we looked at</w:t>
      </w:r>
    </w:p>
    <w:p>
      <w:pPr>
        <w:pStyle w:val="FirstParagraph"/>
      </w:pPr>
      <w:r>
        <w:t xml:space="preserve">In a single read of the tenant we collected: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Workloads inventoried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Workloads reporting via agent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1,206 (64.1%)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 in hierarchy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 authored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 in enforce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policies (highest precedence)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CVEs on workloads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CVEs on workloads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Enforcement alerts in 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</w:tr>
    </w:tbl>
    <w:p>
      <w:pPr>
        <w:pStyle w:val="BodyText"/>
      </w:pPr>
      <w:r>
        <w:t xml:space="preserve">The same evidence bundle is replayable; nothing here was hand-curated.</w:t>
      </w:r>
    </w:p>
    <w:p>
      <w:r>
        <w:pict>
          <v:rect style="width:0;height:1.5pt" o:hralign="center" o:hrstd="t" o:hr="t"/>
        </w:pict>
      </w:r>
    </w:p>
    <w:bookmarkEnd w:id="9"/>
    <w:bookmarkStart w:id="10" w:name="posture-at-a-glance"/>
    <w:p>
      <w:pPr>
        <w:pStyle w:val="Heading2"/>
      </w:pPr>
      <w:r>
        <w:t xml:space="preserve">Posture at a glance</w:t>
      </w:r>
    </w:p>
    <w:p>
      <w:pPr>
        <w:pStyle w:val="FirstParagraph"/>
      </w:pPr>
      <w:r>
        <w:rPr>
          <w:b/>
          <w:bCs/>
        </w:rPr>
        <w:t xml:space="preserve">Score: 29 / 100 (Grade 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Visibility — 16 pts.</w:t>
      </w:r>
      <w:r>
        <w:t xml:space="preserve"> </w:t>
      </w:r>
      <w:r>
        <w:t xml:space="preserve">1206/1880 workloads reporting (64.1% agent coverage).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Segmentation — 6 pts.</w:t>
      </w:r>
      <w:r>
        <w:t xml:space="preserve"> </w:t>
      </w:r>
      <w:r>
        <w:t xml:space="preserve">84 policies, 22 in enforce mode (26%), 4 absolute (5%).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Hygiene — 3 pts.</w:t>
      </w:r>
      <w:r>
        <w:t xml:space="preserve"> </w:t>
      </w:r>
      <w:r>
        <w:t xml:space="preserve">19 critical, 142 high CVEs detected on workloads.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Operations — 1 pts.</w:t>
      </w:r>
      <w:r>
        <w:t xml:space="preserve"> </w:t>
      </w:r>
      <w:r>
        <w:t xml:space="preserve">187 enforcement alerts in last 24h.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 — 3 pts.</w:t>
      </w:r>
      <w:r>
        <w:t xml:space="preserve"> </w:t>
      </w:r>
      <w:r>
        <w:t xml:space="preserve">7/25 controls marked 'met' across 4 frameworks.</w:t>
      </w:r>
    </w:p>
    <w:p>
      <w:r>
        <w:pict>
          <v:rect style="width:0;height:1.5pt" o:hralign="center" o:hrstd="t" o:hr="t"/>
        </w:pict>
      </w:r>
    </w:p>
    <w:bookmarkEnd w:id="10"/>
    <w:bookmarkStart w:id="12" w:name="what-youre-already-doing-well"/>
    <w:p>
      <w:pPr>
        <w:pStyle w:val="Heading2"/>
      </w:pPr>
      <w:r>
        <w:t xml:space="preserve">What you're already doing well</w:t>
      </w:r>
    </w:p>
    <w:bookmarkStart w:id="11" w:name="evidence-collected-for-4-frameworks"/>
    <w:p>
      <w:pPr>
        <w:pStyle w:val="Heading3"/>
      </w:pPr>
      <w:r>
        <w:t xml:space="preserve">Evidence collected for 4 frameworks</w:t>
      </w:r>
    </w:p>
    <w:p>
      <w:pPr>
        <w:pStyle w:val="FirstParagraph"/>
      </w:pPr>
      <w:r>
        <w:t xml:space="preserve">Re-using a single set of CSW evidence across multiple frameworks is the headline value proposition - this tenant is realising it.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wed-recommend-addressing"/>
    <w:p>
      <w:pPr>
        <w:pStyle w:val="Heading2"/>
      </w:pPr>
      <w:r>
        <w:t xml:space="preserve">What we'd recommend addressing</w:t>
      </w:r>
    </w:p>
    <w:bookmarkStart w:id="13" w:name="X44b60e97354b8ab535c24d125a2464fc25fd3b6"/>
    <w:p>
      <w:pPr>
        <w:pStyle w:val="Heading3"/>
      </w:pPr>
      <w:r>
        <w:t xml:space="preserve">62 policies remain in monitor mode</w:t>
      </w:r>
    </w:p>
    <w:p>
      <w:pPr>
        <w:pStyle w:val="FirstParagraph"/>
      </w:pPr>
      <w:r>
        <w:rPr>
          <w:i/>
          <w:iCs/>
        </w:rPr>
        <w:t xml:space="preserve">Category: segmentation · Estimated posture uplift if addressed: +11 pts</w:t>
      </w:r>
    </w:p>
    <w:p>
      <w:pPr>
        <w:pStyle w:val="BodyText"/>
      </w:pPr>
      <w:r>
        <w:t xml:space="preserve">Monitor-mode policies generate evidence but do not block lateral movement. Promoting reviewed policies to enforce directly improves the segmentation score component.</w:t>
      </w:r>
    </w:p>
    <w:bookmarkEnd w:id="13"/>
    <w:bookmarkStart w:id="14" w:name="X10cea4466877c05940c3fd948f76a17648a616e"/>
    <w:p>
      <w:pPr>
        <w:pStyle w:val="Heading3"/>
      </w:pPr>
      <w:r>
        <w:t xml:space="preserve">674 workloads without an agent</w:t>
      </w:r>
    </w:p>
    <w:p>
      <w:pPr>
        <w:pStyle w:val="FirstParagraph"/>
      </w:pPr>
      <w:r>
        <w:rPr>
          <w:i/>
          <w:iCs/>
        </w:rPr>
        <w:t xml:space="preserve">Category: visibility · Estimated posture uplift if addressed: +9 pts</w:t>
      </w:r>
    </w:p>
    <w:p>
      <w:pPr>
        <w:pStyle w:val="BodyText"/>
      </w:pPr>
      <w:r>
        <w:t xml:space="preserve">Workloads outside agent coverage are invisible to flow analytics, ADM, and policy enforcement. Closing this gap unlocks visibility-driven controls in every framework.</w:t>
      </w:r>
    </w:p>
    <w:bookmarkEnd w:id="14"/>
    <w:bookmarkStart w:id="15" w:name="Xd31e411d40e27fb0bec7bf1d8fc1dee33895b18"/>
    <w:p>
      <w:pPr>
        <w:pStyle w:val="Heading3"/>
      </w:pPr>
      <w:r>
        <w:t xml:space="preserve">19 critical CVEs on workloads</w:t>
      </w:r>
    </w:p>
    <w:p>
      <w:pPr>
        <w:pStyle w:val="FirstParagraph"/>
      </w:pPr>
      <w:r>
        <w:rPr>
          <w:i/>
          <w:iCs/>
        </w:rPr>
        <w:t xml:space="preserve">Category: hygiene · Estimated posture uplift if addressed: +9 pts</w:t>
      </w:r>
    </w:p>
    <w:p>
      <w:pPr>
        <w:pStyle w:val="BodyText"/>
      </w:pPr>
      <w:r>
        <w:t xml:space="preserve">CSW correlates package CVEs to running processes. Each critical CVE on an internet-reachable workload is a candidate for escalation to patching or compensating policy.</w:t>
      </w:r>
    </w:p>
    <w:bookmarkEnd w:id="15"/>
    <w:bookmarkStart w:id="16" w:name="few-absolute-policies-in-place"/>
    <w:p>
      <w:pPr>
        <w:pStyle w:val="Heading3"/>
      </w:pPr>
      <w:r>
        <w:t xml:space="preserve">Few absolute policies in place</w:t>
      </w:r>
    </w:p>
    <w:p>
      <w:pPr>
        <w:pStyle w:val="FirstParagraph"/>
      </w:pPr>
      <w:r>
        <w:rPr>
          <w:i/>
          <w:iCs/>
        </w:rPr>
        <w:t xml:space="preserve">Category: segmentation · Estimated posture uplift if addressed: +6 pts</w:t>
      </w:r>
    </w:p>
    <w:p>
      <w:pPr>
        <w:pStyle w:val="BodyText"/>
      </w:pPr>
      <w:r>
        <w:t xml:space="preserve">Absolute policies are the right tool for crown-jewel isolation (PHI, cardholder data, regulated systems). Their absence indicates the segmentation strategy is still permissive-by-default.</w:t>
      </w:r>
    </w:p>
    <w:bookmarkEnd w:id="16"/>
    <w:bookmarkStart w:id="17" w:name="X5b059ffe769a1092e7684bb335abae54f90c032"/>
    <w:p>
      <w:pPr>
        <w:pStyle w:val="Heading3"/>
      </w:pPr>
      <w:r>
        <w:t xml:space="preserve">187 enforcement alerts in 24h</w:t>
      </w:r>
    </w:p>
    <w:p>
      <w:pPr>
        <w:pStyle w:val="FirstParagraph"/>
      </w:pPr>
      <w:r>
        <w:rPr>
          <w:i/>
          <w:iCs/>
        </w:rPr>
        <w:t xml:space="preserve">Category: operations · Estimated posture uplift if addressed: +5 pts</w:t>
      </w:r>
    </w:p>
    <w:p>
      <w:pPr>
        <w:pStyle w:val="BodyText"/>
      </w:pPr>
      <w:r>
        <w:t xml:space="preserve">Sustained alert volume indicates either policy gaps (legitimate flows blocked) or active attack pressure. Both warrant SOC engagement and policy review.</w:t>
      </w:r>
    </w:p>
    <w:bookmarkEnd w:id="17"/>
    <w:bookmarkStart w:id="18" w:name="hipaa-5-controls-not-marked-met"/>
    <w:p>
      <w:pPr>
        <w:pStyle w:val="Heading3"/>
      </w:pPr>
      <w:r>
        <w:t xml:space="preserve">HIPAA: 5 controls not marked met</w:t>
      </w:r>
    </w:p>
    <w:p>
      <w:pPr>
        <w:pStyle w:val="FirstParagraph"/>
      </w:pPr>
      <w:r>
        <w:rPr>
          <w:i/>
          <w:iCs/>
        </w:rPr>
        <w:t xml:space="preserve">Category: compliance · Estimated posture uplift if addressed: +2 pts</w:t>
      </w:r>
    </w:p>
    <w:p>
      <w:pPr>
        <w:pStyle w:val="BodyText"/>
      </w:pPr>
      <w:r>
        <w:t xml:space="preserve">5 controls in the HIPAA catalog still show partial or pending evidence. Address these before the next audit cycle.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uggested-30-day-plan"/>
    <w:p>
      <w:pPr>
        <w:pStyle w:val="Heading2"/>
      </w:pPr>
      <w:r>
        <w:t xml:space="preserve">Suggested 30-day plan</w:t>
      </w:r>
    </w:p>
    <w:p>
      <w:pPr>
        <w:pStyle w:val="FirstParagraph"/>
      </w:pPr>
      <w:r>
        <w:t xml:space="preserve">The plan is sequenced so each week's work feeds the next; weeks 1-2 are</w:t>
      </w:r>
      <w:r>
        <w:t xml:space="preserve"> </w:t>
      </w:r>
      <w:r>
        <w:t xml:space="preserve">foundation moves, week 3 is the highest-leverage policy promotion, and</w:t>
      </w:r>
      <w:r>
        <w:t xml:space="preserve"> </w:t>
      </w:r>
      <w:r>
        <w:t xml:space="preserve">week 4 closes the loop with a re-measurement.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Addresses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agent-coverage gap.</w:t>
            </w:r>
            <w:r>
              <w:t xml:space="preserve"> </w:t>
            </w:r>
            <w:r>
              <w:t xml:space="preserve">Identify the 674 workloads without an agent. Triage into: (a) deploy now, (b) excluded by policy, (c) decommission. Track in a single ticket; aim for 95%+ coverage.</w:t>
            </w:r>
          </w:p>
        </w:tc>
        <w:tc>
          <w:tcPr/>
          <w:p>
            <w:pPr>
              <w:pStyle w:val="Compac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</w:pPr>
            <w:r>
              <w:t xml:space="preserve">674 workloads without an agent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Promote vetted policies to enforce mode.</w:t>
            </w:r>
            <w:r>
              <w:t xml:space="preserve"> </w:t>
            </w:r>
            <w:r>
              <w:t xml:space="preserve">Run the 30-day flow review on monitor-mode policies for top 3 scopes. Promote those with no false-positive flow violations to enforce.</w:t>
            </w:r>
          </w:p>
        </w:tc>
        <w:tc>
          <w:tcPr/>
          <w:p>
            <w:pPr>
              <w:pStyle w:val="Compact"/>
            </w:pPr>
            <w:r>
              <w:t xml:space="preserve">Security Operations</w:t>
            </w:r>
          </w:p>
        </w:tc>
        <w:tc>
          <w:tcPr/>
          <w:p>
            <w:pPr>
              <w:pStyle w:val="Compact"/>
            </w:pPr>
            <w:r>
              <w:t xml:space="preserve">62 policies remain in monitor mode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absolute policies for crown jewels.</w:t>
            </w:r>
            <w:r>
              <w:t xml:space="preserve"> </w:t>
            </w:r>
            <w:r>
              <w:t xml:space="preserve">Identify the top 3 crown-jewel scopes (databases of regulated data, payment systems, PHI stores). Draft absolute policies that take precedence over inherited rules.</w:t>
            </w:r>
          </w:p>
        </w:tc>
        <w:tc>
          <w:tcPr/>
          <w:p>
            <w:pPr>
              <w:pStyle w:val="Compact"/>
            </w:pPr>
            <w:r>
              <w:t xml:space="preserve">Security Architecture</w:t>
            </w:r>
          </w:p>
        </w:tc>
        <w:tc>
          <w:tcPr/>
          <w:p>
            <w:pPr>
              <w:pStyle w:val="Compact"/>
            </w:pPr>
            <w:r>
              <w:t xml:space="preserve">Few absolute policies in place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 top critical CVEs.</w:t>
            </w:r>
            <w:r>
              <w:t xml:space="preserve"> </w:t>
            </w:r>
            <w:r>
              <w:t xml:space="preserve">Pull the CSW vulnerability dashboard, sort by internet exposure + severity, dispatch top 10 to patching or compensating-policy workstreams.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19 critical CVEs on workloads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 enforcement alert noise.</w:t>
            </w:r>
            <w:r>
              <w:t xml:space="preserve"> </w:t>
            </w:r>
            <w:r>
              <w:t xml:space="preserve">Categorise the past 24h of alerts (legitimate block, missing exception, real attack). Build exception rules for the first two; route the third into incident response.</w:t>
            </w:r>
          </w:p>
        </w:tc>
        <w:tc>
          <w:tcPr/>
          <w:p>
            <w:pPr>
              <w:pStyle w:val="Compact"/>
            </w:pPr>
            <w:r>
              <w:t xml:space="preserve">Security Operations</w:t>
            </w:r>
          </w:p>
        </w:tc>
        <w:tc>
          <w:tcPr/>
          <w:p>
            <w:pPr>
              <w:pStyle w:val="Compact"/>
            </w:pPr>
            <w:r>
              <w:t xml:space="preserve">187 enforcement alerts in 24h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evidence and report.</w:t>
            </w:r>
            <w:r>
              <w:t xml:space="preserve"> </w:t>
            </w:r>
            <w:r>
              <w:t xml:space="preserve">Re-run csw-insights against the tenant. Compare posture score to baseline; share delta with steering committee.</w:t>
            </w:r>
          </w:p>
        </w:tc>
        <w:tc>
          <w:tcPr/>
          <w:p>
            <w:pPr>
              <w:pStyle w:val="Compact"/>
            </w:pPr>
            <w:r>
              <w:t xml:space="preserve">Compliance / GRC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4f94360e454b688932070479697d8ce03269b8"/>
    <w:p>
      <w:pPr>
        <w:pStyle w:val="Heading2"/>
      </w:pPr>
      <w:r>
        <w:t xml:space="preserve">How CSW shows up across the frameworks you care about</w:t>
      </w:r>
    </w:p>
    <w:p>
      <w:pPr>
        <w:pStyle w:val="FirstParagraph"/>
      </w:pPr>
      <w:r>
        <w:t xml:space="preserve">For each framework below, the runbooks and reports in</w:t>
      </w:r>
      <w:r>
        <w:t xml:space="preserve"> </w:t>
      </w:r>
      <w:r>
        <w:rPr>
          <w:rStyle w:val="VerbatimChar"/>
        </w:rPr>
        <w:t xml:space="preserve">CSW-Compliance-Mapping</w:t>
      </w:r>
      <w:r>
        <w:t xml:space="preserve"> </w:t>
      </w:r>
      <w:r>
        <w:t xml:space="preserve">walk through the specific controls this evidence</w:t>
      </w:r>
      <w:r>
        <w:t xml:space="preserve"> </w:t>
      </w:r>
      <w:r>
        <w:t xml:space="preserve">supports. The numbers here are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state of controls evaluated</w:t>
      </w:r>
      <w:r>
        <w:t xml:space="preserve"> </w:t>
      </w:r>
      <w:r>
        <w:t xml:space="preserve">in this tenant.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 evaluated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PCI-DSS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NIST-800-53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demo-able-artefacts"/>
    <w:p>
      <w:pPr>
        <w:pStyle w:val="Heading2"/>
      </w:pPr>
      <w:r>
        <w:t xml:space="preserve">Demo-able artefacts</w:t>
      </w:r>
    </w:p>
    <w:p>
      <w:pPr>
        <w:pStyle w:val="FirstParagraph"/>
      </w:pPr>
      <w:r>
        <w:t xml:space="preserve">The same evidence bundle that produced this report can also drive: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 (Application Dependency Mapping) walk-through</w:t>
      </w:r>
      <w:r>
        <w:t xml:space="preserve"> </w:t>
      </w:r>
      <w:r>
        <w:t xml:space="preserve">— visualise the</w:t>
      </w:r>
      <w:r>
        <w:t xml:space="preserve"> </w:t>
      </w:r>
      <w:r>
        <w:t xml:space="preserve">highest-blast-radius workloads we identified.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Policy what-if</w:t>
      </w:r>
      <w:r>
        <w:t xml:space="preserve"> </w:t>
      </w:r>
      <w:r>
        <w:t xml:space="preserve">— replay 24h of flow data against a candidate policy</w:t>
      </w:r>
      <w:r>
        <w:t xml:space="preserve"> </w:t>
      </w:r>
      <w:r>
        <w:t xml:space="preserve">to show enforcement impact before promoting.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Vulnerability dashboard</w:t>
      </w:r>
      <w:r>
        <w:t xml:space="preserve"> </w:t>
      </w:r>
      <w:r>
        <w:t xml:space="preserve">— sort the critical CVEs above by internet</w:t>
      </w:r>
      <w:r>
        <w:t xml:space="preserve"> </w:t>
      </w:r>
      <w:r>
        <w:t xml:space="preserve">exposure to pick the top 10 patching candidates.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Auditor-ready evidence bundle</w:t>
      </w:r>
      <w:r>
        <w:t xml:space="preserve"> </w:t>
      </w:r>
      <w:r>
        <w:t xml:space="preserve">— the signed JSON used to render this</w:t>
      </w:r>
      <w:r>
        <w:t xml:space="preserve"> </w:t>
      </w:r>
      <w:r>
        <w:t xml:space="preserve">report drops directly into the framework runbooks.</w:t>
      </w:r>
    </w:p>
    <w:p>
      <w:r>
        <w:pict>
          <v:rect style="width:0;height:1.5pt" o:hralign="center" o:hrstd="t" o:hr="t"/>
        </w:pict>
      </w:r>
    </w:p>
    <w:bookmarkEnd w:id="22"/>
    <w:bookmarkStart w:id="23" w:name="what-wed-like-to-do-next"/>
    <w:p>
      <w:pPr>
        <w:pStyle w:val="Heading2"/>
      </w:pPr>
      <w:r>
        <w:t xml:space="preserve">What we'd like to do next</w:t>
      </w:r>
    </w:p>
    <w:p>
      <w:pPr>
        <w:pStyle w:val="Compact"/>
        <w:numPr>
          <w:ilvl w:val="0"/>
          <w:numId w:val="1003"/>
        </w:numPr>
      </w:pPr>
      <w:r>
        <w:t xml:space="preserve">Walk through the top 3 risks above with your platform/security teams.</w:t>
      </w:r>
    </w:p>
    <w:p>
      <w:pPr>
        <w:pStyle w:val="Compact"/>
        <w:numPr>
          <w:ilvl w:val="0"/>
          <w:numId w:val="1003"/>
        </w:numPr>
      </w:pPr>
      <w:r>
        <w:t xml:space="preserve">Pick one risk to address this sprint; re-run</w:t>
      </w:r>
      <w:r>
        <w:t xml:space="preserve"> </w:t>
      </w:r>
      <w:r>
        <w:rPr>
          <w:rStyle w:val="VerbatimChar"/>
        </w:rPr>
        <w:t xml:space="preserve">csw-insights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03"/>
        </w:numPr>
      </w:pPr>
      <w:r>
        <w:t xml:space="preserve">Use the resulting before/after delta as the proof point for the</w:t>
      </w:r>
      <w:r>
        <w:t xml:space="preserve"> </w:t>
      </w:r>
      <w:r>
        <w:t xml:space="preserve">wider rollout business case.</w:t>
      </w:r>
    </w:p>
    <w:p>
      <w:pPr>
        <w:pStyle w:val="FirstParagraph"/>
      </w:pPr>
      <w:r>
        <w:rPr>
          <w:i/>
          <w:iCs/>
        </w:rPr>
        <w:t xml:space="preserve">Materials, scripts, and templates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CSW-Tenant-Insights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underlying compliance narrative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CSW-Compliance-Mapping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collection runs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CSW-API-Compliance-Automation</w:t>
      </w:r>
      <w:r>
        <w:rPr>
          <w:i/>
          <w:iCs/>
        </w:rP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2026-05-01T19:23:00Z</dcterms:created>
  <dcterms:modified xsi:type="dcterms:W3CDTF">2026-05-01T19:23:00Z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