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sw-posture-brief--customer1"/>
    <w:p>
      <w:pPr>
        <w:pStyle w:val="Heading1"/>
      </w:pPr>
      <w:r>
        <w:t xml:space="preserve">CSW Posture Brief — customer1</w:t>
      </w:r>
    </w:p>
    <w:p>
      <w:pPr>
        <w:pStyle w:val="FirstParagraph"/>
      </w:pPr>
      <w:r>
        <w:rPr>
          <w:i/>
          <w:iCs/>
        </w:rPr>
        <w:t xml:space="preserve">One-page board update generated 2026-05-01T18:30:00Z. Source: live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bundle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https://csw.customer1.example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posture-score"/>
    <w:p>
      <w:pPr>
        <w:pStyle w:val="Heading2"/>
      </w:pPr>
      <w:r>
        <w:t xml:space="preserve">Posture score</w:t>
      </w:r>
    </w:p>
    <w:p>
      <w:pPr>
        <w:pStyle w:val="BlockText"/>
      </w:pPr>
      <w:r>
        <w:rPr>
          <w:b/>
          <w:bCs/>
        </w:rPr>
        <w:t xml:space="preserve">29 / 100 (F)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/ 25</w:t>
            </w:r>
          </w:p>
        </w:tc>
        <w:tc>
          <w:tcPr/>
          <w:p>
            <w:pPr>
              <w:pStyle w:val="Compact"/>
            </w:pPr>
            <w:r>
              <w:t xml:space="preserve">1206/1880 workloads reporting (64.1% agent coverage).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/ 30</w:t>
            </w:r>
          </w:p>
        </w:tc>
        <w:tc>
          <w:tcPr/>
          <w:p>
            <w:pPr>
              <w:pStyle w:val="Compact"/>
            </w:pPr>
            <w:r>
              <w:t xml:space="preserve">84 policies, 22 in enforce mode (26%), 4 absolute (5%).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Hygiene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/ 20</w:t>
            </w:r>
          </w:p>
        </w:tc>
        <w:tc>
          <w:tcPr/>
          <w:p>
            <w:pPr>
              <w:pStyle w:val="Compact"/>
            </w:pPr>
            <w:r>
              <w:t xml:space="preserve">19 critical, 142 high CVEs detected on workloads.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/ 15</w:t>
            </w:r>
          </w:p>
        </w:tc>
        <w:tc>
          <w:tcPr/>
          <w:p>
            <w:pPr>
              <w:pStyle w:val="Compact"/>
            </w:pPr>
            <w:r>
              <w:t xml:space="preserve">187 enforcement alerts in last 24h.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/ 10</w:t>
            </w:r>
          </w:p>
        </w:tc>
        <w:tc>
          <w:tcPr/>
          <w:p>
            <w:pPr>
              <w:pStyle w:val="Compact"/>
            </w:pPr>
            <w:r>
              <w:t xml:space="preserve">7/25 controls marked 'met' across 4 frameworks.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whats-working-1"/>
    <w:p>
      <w:pPr>
        <w:pStyle w:val="Heading2"/>
      </w:pPr>
      <w:r>
        <w:t xml:space="preserve">What's working (1)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Evidence collected for 4 frameworks.</w:t>
      </w:r>
      <w:r>
        <w:t xml:space="preserve"> </w:t>
      </w:r>
      <w:r>
        <w:t xml:space="preserve">Re-using a single set of CSW evidence across multiple frameworks is the headline value proposition - this tenant is realising it.</w:t>
      </w:r>
    </w:p>
    <w:bookmarkEnd w:id="10"/>
    <w:bookmarkStart w:id="11" w:name="where-to-focus-next-5"/>
    <w:p>
      <w:pPr>
        <w:pStyle w:val="Heading2"/>
      </w:pPr>
      <w:r>
        <w:t xml:space="preserve">Where to focus next (5)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62 policies remain in monitor mode</w:t>
      </w:r>
      <w:r>
        <w:t xml:space="preserve"> </w:t>
      </w:r>
      <w:r>
        <w:rPr>
          <w:i/>
          <w:iCs/>
        </w:rPr>
        <w:t xml:space="preserve">(category: segmentation; estimated +11 pts if addressed).</w:t>
      </w:r>
      <w:r>
        <w:t xml:space="preserve"> </w:t>
      </w:r>
      <w:r>
        <w:t xml:space="preserve">Monitor-mode policies generate evidence but do not block lateral movement. Promoting reviewed policies to enforce directly improves the segmentation score component.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674 workloads without an agent</w:t>
      </w:r>
      <w:r>
        <w:t xml:space="preserve"> </w:t>
      </w:r>
      <w:r>
        <w:rPr>
          <w:i/>
          <w:iCs/>
        </w:rPr>
        <w:t xml:space="preserve">(category: visibility; estimated +9 pts if addressed).</w:t>
      </w:r>
      <w:r>
        <w:t xml:space="preserve"> </w:t>
      </w:r>
      <w:r>
        <w:t xml:space="preserve">Workloads outside agent coverage are invisible to flow analytics, ADM, and policy enforcement. Closing this gap unlocks visibility-driven controls in every framework.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 critical CVEs on workloads</w:t>
      </w:r>
      <w:r>
        <w:t xml:space="preserve"> </w:t>
      </w:r>
      <w:r>
        <w:rPr>
          <w:i/>
          <w:iCs/>
        </w:rPr>
        <w:t xml:space="preserve">(category: hygiene; estimated +9 pts if addressed).</w:t>
      </w:r>
      <w:r>
        <w:t xml:space="preserve"> </w:t>
      </w:r>
      <w:r>
        <w:t xml:space="preserve">CSW correlates package CVEs to running processes. Each critical CVE on an internet-reachable workload is a candidate for escalation to patching or compensating policy.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 absolute policies in place</w:t>
      </w:r>
      <w:r>
        <w:t xml:space="preserve"> </w:t>
      </w:r>
      <w:r>
        <w:rPr>
          <w:i/>
          <w:iCs/>
        </w:rPr>
        <w:t xml:space="preserve">(category: segmentation; estimated +6 pts if addressed).</w:t>
      </w:r>
      <w:r>
        <w:t xml:space="preserve"> </w:t>
      </w:r>
      <w:r>
        <w:t xml:space="preserve">Absolute policies are the right tool for crown-jewel isolation (PHI, cardholder data, regulated systems). Their absence indicates the segmentation strategy is still permissive-by-default.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187 enforcement alerts in 24h</w:t>
      </w:r>
      <w:r>
        <w:t xml:space="preserve"> </w:t>
      </w:r>
      <w:r>
        <w:rPr>
          <w:i/>
          <w:iCs/>
        </w:rPr>
        <w:t xml:space="preserve">(category: operations; estimated +5 pts if addressed).</w:t>
      </w:r>
      <w:r>
        <w:t xml:space="preserve"> </w:t>
      </w:r>
      <w:r>
        <w:t xml:space="preserve">Sustained alert volume indicates either policy gaps (legitimate flows blocked) or active attack pressure. Both warrant SOC engagement and policy review.</w:t>
      </w:r>
    </w:p>
    <w:p>
      <w:r>
        <w:pict>
          <v:rect style="width:0;height:1.5pt" o:hralign="center" o:hrstd="t" o:hr="t"/>
        </w:pict>
      </w:r>
    </w:p>
    <w:bookmarkEnd w:id="11"/>
    <w:bookmarkStart w:id="12" w:name="X817eaec70353f8a7078f67c0310e483539a5393"/>
    <w:p>
      <w:pPr>
        <w:pStyle w:val="Heading2"/>
      </w:pPr>
      <w:r>
        <w:t xml:space="preserve">30-day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 agent-coverage gap.</w:t>
            </w:r>
            <w:r>
              <w:t xml:space="preserve"> </w:t>
            </w:r>
            <w:r>
              <w:t xml:space="preserve">Identify the 674 workloads without an agent. Triage into: (a) deploy now, (b) excluded by policy, (c) decommission. Track in a single ticket; aim for 95%+ coverage.</w:t>
            </w:r>
          </w:p>
        </w:tc>
        <w:tc>
          <w:tcPr/>
          <w:p>
            <w:pPr>
              <w:pStyle w:val="Compact"/>
            </w:pPr>
            <w:r>
              <w:t xml:space="preserve">Platform Engineering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Promote vetted policies to enforce mode.</w:t>
            </w:r>
            <w:r>
              <w:t xml:space="preserve"> </w:t>
            </w:r>
            <w:r>
              <w:t xml:space="preserve">Run the 30-day flow review on monitor-mode policies for top 3 scopes. Promote those with no false-positive flow violations to enforce.</w:t>
            </w:r>
          </w:p>
        </w:tc>
        <w:tc>
          <w:tcPr/>
          <w:p>
            <w:pPr>
              <w:pStyle w:val="Compact"/>
            </w:pPr>
            <w:r>
              <w:t xml:space="preserve">Security Operations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absolute policies for crown jewels.</w:t>
            </w:r>
            <w:r>
              <w:t xml:space="preserve"> </w:t>
            </w:r>
            <w:r>
              <w:t xml:space="preserve">Identify the top 3 crown-jewel scopes (databases of regulated data, payment systems, PHI stores). Draft absolute policies that take precedence over inherited rules.</w:t>
            </w:r>
          </w:p>
        </w:tc>
        <w:tc>
          <w:tcPr/>
          <w:p>
            <w:pPr>
              <w:pStyle w:val="Compact"/>
            </w:pPr>
            <w:r>
              <w:t xml:space="preserve">Security Architecture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 top critical CVEs.</w:t>
            </w:r>
            <w:r>
              <w:t xml:space="preserve"> </w:t>
            </w:r>
            <w:r>
              <w:t xml:space="preserve">Pull the CSW vulnerability dashboard, sort by internet exposure + severity, dispatch top 10 to patching or compensating-policy workstreams.</w:t>
            </w:r>
          </w:p>
        </w:tc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 enforcement alert noise.</w:t>
            </w:r>
            <w:r>
              <w:t xml:space="preserve"> </w:t>
            </w:r>
            <w:r>
              <w:t xml:space="preserve">Categorise the past 24h of alerts (legitimate block, missing exception, real attack). Build exception rules for the first two; route the third into incident response.</w:t>
            </w:r>
          </w:p>
        </w:tc>
        <w:tc>
          <w:tcPr/>
          <w:p>
            <w:pPr>
              <w:pStyle w:val="Compact"/>
            </w:pPr>
            <w:r>
              <w:t xml:space="preserve">Security Operations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evidence and report.</w:t>
            </w:r>
            <w:r>
              <w:t xml:space="preserve"> </w:t>
            </w:r>
            <w:r>
              <w:t xml:space="preserve">Re-run csw-insights against the tenant. Compare posture score to baseline; share delta with steering committee.</w:t>
            </w:r>
          </w:p>
        </w:tc>
        <w:tc>
          <w:tcPr/>
          <w:p>
            <w:pPr>
              <w:pStyle w:val="Compact"/>
            </w:pPr>
            <w:r>
              <w:t xml:space="preserve">Compliance / GRC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compliance-posture-across-frameworks"/>
    <w:p>
      <w:pPr>
        <w:pStyle w:val="Heading2"/>
      </w:pPr>
      <w:r>
        <w:t xml:space="preserve">Compliance posture across frameworks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 evaluated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PCI-DSS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NIST-800-53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notes-for-the-board-pack"/>
    <w:p>
      <w:pPr>
        <w:pStyle w:val="Heading2"/>
      </w:pPr>
      <w:r>
        <w:t xml:space="preserve">Notes for the board pack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of truth.</w:t>
      </w:r>
      <w:r>
        <w:t xml:space="preserve"> </w:t>
      </w:r>
      <w:r>
        <w:t xml:space="preserve">Every number above is traceable to the underlying</w:t>
      </w:r>
      <w:r>
        <w:t xml:space="preserve"> </w:t>
      </w:r>
      <w:r>
        <w:t xml:space="preserve">evidence bundle (</w:t>
      </w:r>
      <w:r>
        <w:rPr>
          <w:rStyle w:val="VerbatimChar"/>
        </w:rPr>
        <w:t xml:space="preserve">evidence/customer1-2026-05-01.json</w:t>
      </w:r>
      <w:r>
        <w:t xml:space="preserve">)</w:t>
      </w:r>
      <w:r>
        <w:t xml:space="preserve"> </w:t>
      </w:r>
      <w:r>
        <w:t xml:space="preserve">signed at collection time. Auditors get the bundle; the board gets this page.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Cadence.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csw-insights</w:t>
      </w:r>
      <w:r>
        <w:t xml:space="preserve"> </w:t>
      </w:r>
      <w:r>
        <w:t xml:space="preserve">weekly produces the trend line; the</w:t>
      </w:r>
      <w:r>
        <w:t xml:space="preserve"> </w:t>
      </w:r>
      <w:r>
        <w:t xml:space="preserve">recommended cadence for board updates is monthly.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this is not.</w:t>
      </w:r>
      <w:r>
        <w:t xml:space="preserve"> </w:t>
      </w:r>
      <w:r>
        <w:t xml:space="preserve">A posture score is a management tool, not a compliance</w:t>
      </w:r>
      <w:r>
        <w:t xml:space="preserve"> </w:t>
      </w:r>
      <w:r>
        <w:t xml:space="preserve">attestation. Refer to the framework runbooks in</w:t>
      </w:r>
      <w:r>
        <w:t xml:space="preserve"> </w:t>
      </w:r>
      <w:r>
        <w:rPr>
          <w:rStyle w:val="VerbatimChar"/>
        </w:rPr>
        <w:t xml:space="preserve">CSW-Compliance-Mapping</w:t>
      </w:r>
      <w:r>
        <w:t xml:space="preserve"> </w:t>
      </w:r>
      <w:r>
        <w:t xml:space="preserve">for</w:t>
      </w:r>
      <w:r>
        <w:t xml:space="preserve"> </w:t>
      </w:r>
      <w:r>
        <w:t xml:space="preserve">control-by-control evidence.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2026-05-01T19:22:57Z</dcterms:created>
  <dcterms:modified xsi:type="dcterms:W3CDTF">2026-05-01T19:22:57Z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