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sw-proof-of-value-findings--acme"/>
    <w:p>
      <w:pPr>
        <w:pStyle w:val="Heading1"/>
      </w:pPr>
      <w:r>
        <w:t xml:space="preserve">CSW Proof-of-Value Findings — acme</w:t>
      </w:r>
    </w:p>
    <w:p>
      <w:pPr>
        <w:pStyle w:val="FirstParagraph"/>
      </w:pPr>
      <w:r>
        <w:rPr>
          <w:i/>
          <w:iCs/>
        </w:rPr>
        <w:t xml:space="preserve">Generated 2026-05-01T18:30:00Z from live evidence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https://csw.acme-demo.local</w:t>
      </w:r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Use this as the talk-track for the readout meeting; it is intentionally</w:t>
      </w:r>
      <w:r>
        <w:rPr>
          <w:i/>
          <w:iCs/>
        </w:rPr>
        <w:t xml:space="preserve"> </w:t>
      </w:r>
      <w:r>
        <w:rPr>
          <w:i/>
          <w:iCs/>
        </w:rPr>
        <w:t xml:space="preserve">denser than the CISO brief.</w:t>
      </w:r>
    </w:p>
    <w:p>
      <w:r>
        <w:pict>
          <v:rect style="width:0;height:1.5pt" o:hralign="center" o:hrstd="t" o:hr="t"/>
        </w:pict>
      </w:r>
    </w:p>
    <w:bookmarkStart w:id="9" w:name="what-we-looked-at"/>
    <w:p>
      <w:pPr>
        <w:pStyle w:val="Heading2"/>
      </w:pPr>
      <w:r>
        <w:t xml:space="preserve">What we looked at</w:t>
      </w:r>
    </w:p>
    <w:p>
      <w:pPr>
        <w:pStyle w:val="FirstParagraph"/>
      </w:pPr>
      <w:r>
        <w:t xml:space="preserve">In a single read of the tenant we collected: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Workloads inventoried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Workloads reporting via agent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4,612 (95.7%)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Scopes in hierarchy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 authored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Policies in enforce mode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Absolute policies (highest precedence)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CVEs on workloads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CVEs on workloads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Enforcement alerts in 24h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</w:tbl>
    <w:p>
      <w:pPr>
        <w:pStyle w:val="BodyText"/>
      </w:pPr>
      <w:r>
        <w:t xml:space="preserve">The same evidence bundle is replayable; nothing here was hand-curated.</w:t>
      </w:r>
    </w:p>
    <w:p>
      <w:r>
        <w:pict>
          <v:rect style="width:0;height:1.5pt" o:hralign="center" o:hrstd="t" o:hr="t"/>
        </w:pict>
      </w:r>
    </w:p>
    <w:bookmarkEnd w:id="9"/>
    <w:bookmarkStart w:id="10" w:name="posture-at-a-glance"/>
    <w:p>
      <w:pPr>
        <w:pStyle w:val="Heading2"/>
      </w:pPr>
      <w:r>
        <w:t xml:space="preserve">Posture at a glance</w:t>
      </w:r>
    </w:p>
    <w:p>
      <w:pPr>
        <w:pStyle w:val="FirstParagraph"/>
      </w:pPr>
      <w:r>
        <w:rPr>
          <w:b/>
          <w:bCs/>
        </w:rPr>
        <w:t xml:space="preserve">Score: 75 / 100 (Grade C)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Visibility — 24 pts.</w:t>
      </w:r>
      <w:r>
        <w:t xml:space="preserve"> </w:t>
      </w:r>
      <w:r>
        <w:t xml:space="preserve">4612/4820 workloads reporting (95.7% agent coverage).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Segmentation — 18 pts.</w:t>
      </w:r>
      <w:r>
        <w:t xml:space="preserve"> </w:t>
      </w:r>
      <w:r>
        <w:t xml:space="preserve">312 policies, 248 in enforce mode (79%), 41 absolute (13%).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Hygiene — 12 pts.</w:t>
      </w:r>
      <w:r>
        <w:t xml:space="preserve"> </w:t>
      </w:r>
      <w:r>
        <w:t xml:space="preserve">7 critical, 64 high CVEs detected on workloads.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Operations — 13 pts.</w:t>
      </w:r>
      <w:r>
        <w:t xml:space="preserve"> </w:t>
      </w:r>
      <w:r>
        <w:t xml:space="preserve">24 enforcement alerts in last 24h.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— 8 pts.</w:t>
      </w:r>
      <w:r>
        <w:t xml:space="preserve"> </w:t>
      </w:r>
      <w:r>
        <w:t xml:space="preserve">21/25 controls marked 'met' across 4 frameworks.</w:t>
      </w:r>
    </w:p>
    <w:p>
      <w:r>
        <w:pict>
          <v:rect style="width:0;height:1.5pt" o:hralign="center" o:hrstd="t" o:hr="t"/>
        </w:pict>
      </w:r>
    </w:p>
    <w:bookmarkEnd w:id="10"/>
    <w:bookmarkStart w:id="15" w:name="what-youre-already-doing-well"/>
    <w:p>
      <w:pPr>
        <w:pStyle w:val="Heading2"/>
      </w:pPr>
      <w:r>
        <w:t xml:space="preserve">What you're already doing well</w:t>
      </w:r>
    </w:p>
    <w:bookmarkStart w:id="11" w:name="agent-coverage-at-957"/>
    <w:p>
      <w:pPr>
        <w:pStyle w:val="Heading3"/>
      </w:pPr>
      <w:r>
        <w:t xml:space="preserve">Agent coverage at 95.7%</w:t>
      </w:r>
    </w:p>
    <w:p>
      <w:pPr>
        <w:pStyle w:val="FirstParagraph"/>
      </w:pPr>
      <w:r>
        <w:t xml:space="preserve">Strong agent coverage means flow analytics, ADM recommendations, and policy enforcement are operating on the real estate, not a sample.</w:t>
      </w:r>
    </w:p>
    <w:p>
      <w:pPr>
        <w:pStyle w:val="BodyText"/>
      </w:pPr>
      <w:r>
        <w:rPr>
          <w:b/>
          <w:bCs/>
        </w:rPr>
        <w:t xml:space="preserve">Compliance reinforcement.</w:t>
      </w:r>
      <w:r>
        <w:t xml:space="preserve"> </w:t>
      </w:r>
      <w:r>
        <w:t xml:space="preserve">This capability supports: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164.308(a)(1)(ii)(A)</w:t>
      </w:r>
      <w:r>
        <w:t xml:space="preserve"> </w:t>
      </w:r>
      <w:r>
        <w:t xml:space="preserve">(risk analysis requires knowing what's in scope);</w:t>
      </w:r>
      <w:r>
        <w:t xml:space="preserve"> </w:t>
      </w:r>
      <w:r>
        <w:rPr>
          <w:rStyle w:val="VerbatimChar"/>
        </w:rPr>
        <w:t xml:space="preserve">164.310(c)</w:t>
      </w:r>
      <w:r>
        <w:t xml:space="preserve"> </w:t>
      </w:r>
      <w:r>
        <w:t xml:space="preserve">(workstation security depends on inventory)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1.2.1</w:t>
      </w:r>
      <w:r>
        <w:t xml:space="preserve"> </w:t>
      </w:r>
      <w:r>
        <w:t xml:space="preserve">(network controls depend on knowing what they protect)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AU-2</w:t>
      </w:r>
      <w:r>
        <w:t xml:space="preserve"> </w:t>
      </w:r>
      <w:r>
        <w:t xml:space="preserve">(audit events presume coverage of every workload);</w:t>
      </w:r>
      <w:r>
        <w:t xml:space="preserve"> </w:t>
      </w:r>
      <w:r>
        <w:rPr>
          <w:rStyle w:val="VerbatimChar"/>
        </w:rPr>
        <w:t xml:space="preserve">SI-4</w:t>
      </w:r>
      <w:r>
        <w:t xml:space="preserve"> </w:t>
      </w:r>
      <w:r>
        <w:t xml:space="preserve">(system monitoring requires telemetry from every workload)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Art.8</w:t>
      </w:r>
      <w:r>
        <w:t xml:space="preserve"> </w:t>
      </w:r>
      <w:r>
        <w:t xml:space="preserve">(ICT risk management requires complete asset inventory);</w:t>
      </w:r>
      <w:r>
        <w:t xml:space="preserve"> </w:t>
      </w:r>
      <w:r>
        <w:rPr>
          <w:rStyle w:val="VerbatimChar"/>
        </w:rPr>
        <w:t xml:space="preserve">Art.9</w:t>
      </w:r>
      <w:r>
        <w:t xml:space="preserve"> </w:t>
      </w:r>
      <w:r>
        <w:t xml:space="preserve">(ICT security depends on knowing the estate)</w:t>
      </w:r>
    </w:p>
    <w:bookmarkEnd w:id="11"/>
    <w:bookmarkStart w:id="12" w:name="X179c635b47ce32e8a0decf4cfcc0bee62812592"/>
    <w:p>
      <w:pPr>
        <w:pStyle w:val="Heading3"/>
      </w:pPr>
      <w:r>
        <w:t xml:space="preserve">312 policies authored</w:t>
      </w:r>
    </w:p>
    <w:p>
      <w:pPr>
        <w:pStyle w:val="FirstParagraph"/>
      </w:pPr>
      <w:r>
        <w:t xml:space="preserve">A populated policy library indicates segmentation is past initial discovery and into active design.</w:t>
      </w:r>
    </w:p>
    <w:p>
      <w:pPr>
        <w:pStyle w:val="BodyText"/>
      </w:pPr>
      <w:r>
        <w:rPr>
          <w:b/>
          <w:bCs/>
        </w:rPr>
        <w:t xml:space="preserve">Compliance reinforcement.</w:t>
      </w:r>
      <w:r>
        <w:t xml:space="preserve"> </w:t>
      </w:r>
      <w:r>
        <w:t xml:space="preserve">This capability supports: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164.308(a)(4)</w:t>
      </w:r>
      <w:r>
        <w:t xml:space="preserve"> </w:t>
      </w:r>
      <w:r>
        <w:t xml:space="preserve">(information access management is enforced via policy);</w:t>
      </w:r>
      <w:r>
        <w:t xml:space="preserve"> </w:t>
      </w:r>
      <w:r>
        <w:rPr>
          <w:rStyle w:val="VerbatimChar"/>
        </w:rPr>
        <w:t xml:space="preserve">164.312(a)(1)</w:t>
      </w:r>
      <w:r>
        <w:t xml:space="preserve"> </w:t>
      </w:r>
      <w:r>
        <w:t xml:space="preserve">(access control is implemented as policy)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1.2.1</w:t>
      </w:r>
      <w:r>
        <w:t xml:space="preserve"> </w:t>
      </w:r>
      <w:r>
        <w:t xml:space="preserve">(network security controls are the segmentation evidence);</w:t>
      </w:r>
      <w:r>
        <w:t xml:space="preserve"> </w:t>
      </w:r>
      <w:r>
        <w:rPr>
          <w:rStyle w:val="VerbatimChar"/>
        </w:rPr>
        <w:t xml:space="preserve">1.3</w:t>
      </w:r>
      <w:r>
        <w:t xml:space="preserve"> </w:t>
      </w:r>
      <w:r>
        <w:t xml:space="preserve">(no direct internet access to CDE requires enforced policy);</w:t>
      </w:r>
      <w:r>
        <w:t xml:space="preserve"> </w:t>
      </w:r>
      <w:r>
        <w:rPr>
          <w:rStyle w:val="VerbatimChar"/>
        </w:rPr>
        <w:t xml:space="preserve">12.5.3</w:t>
      </w:r>
      <w:r>
        <w:t xml:space="preserve"> </w:t>
      </w:r>
      <w:r>
        <w:t xml:space="preserve">(segmentation effectiveness is tested annually)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AC-3</w:t>
      </w:r>
      <w:r>
        <w:t xml:space="preserve"> </w:t>
      </w:r>
      <w:r>
        <w:t xml:space="preserve">(access enforcement is implemented as policy);</w:t>
      </w:r>
      <w:r>
        <w:t xml:space="preserve"> </w:t>
      </w:r>
      <w:r>
        <w:rPr>
          <w:rStyle w:val="VerbatimChar"/>
        </w:rPr>
        <w:t xml:space="preserve">AC-4</w:t>
      </w:r>
      <w:r>
        <w:t xml:space="preserve"> </w:t>
      </w:r>
      <w:r>
        <w:t xml:space="preserve">(information flow enforcement is the segmentation control);</w:t>
      </w:r>
      <w:r>
        <w:t xml:space="preserve"> </w:t>
      </w:r>
      <w:r>
        <w:rPr>
          <w:rStyle w:val="VerbatimChar"/>
        </w:rPr>
        <w:t xml:space="preserve">CM-7</w:t>
      </w:r>
      <w:r>
        <w:t xml:space="preserve"> </w:t>
      </w:r>
      <w:r>
        <w:t xml:space="preserve">(least functionality limits flows to what is needed);</w:t>
      </w:r>
      <w:r>
        <w:t xml:space="preserve"> </w:t>
      </w:r>
      <w:r>
        <w:rPr>
          <w:rStyle w:val="VerbatimChar"/>
        </w:rPr>
        <w:t xml:space="preserve">SC-7</w:t>
      </w:r>
      <w:r>
        <w:t xml:space="preserve"> </w:t>
      </w:r>
      <w:r>
        <w:t xml:space="preserve">(boundary protection is segmentation)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Art.9</w:t>
      </w:r>
      <w:r>
        <w:t xml:space="preserve"> </w:t>
      </w:r>
      <w:r>
        <w:t xml:space="preserve">(ICT security includes segmentation of critical assets)</w:t>
      </w:r>
    </w:p>
    <w:bookmarkEnd w:id="12"/>
    <w:bookmarkStart w:id="13" w:name="X1aa26e90e35d45fc8441e45773fa0ed83dd4d34"/>
    <w:p>
      <w:pPr>
        <w:pStyle w:val="Heading3"/>
      </w:pPr>
      <w:r>
        <w:t xml:space="preserve">79% of policies in enforce mode</w:t>
      </w:r>
    </w:p>
    <w:p>
      <w:pPr>
        <w:pStyle w:val="FirstParagraph"/>
      </w:pPr>
      <w:r>
        <w:t xml:space="preserve">Enforcement-mode policies are the difference between an audit narrative and a control. This ratio is the single best evidence the program is operational.</w:t>
      </w:r>
    </w:p>
    <w:p>
      <w:pPr>
        <w:pStyle w:val="BodyText"/>
      </w:pPr>
      <w:r>
        <w:rPr>
          <w:b/>
          <w:bCs/>
        </w:rPr>
        <w:t xml:space="preserve">Compliance reinforcement.</w:t>
      </w:r>
      <w:r>
        <w:t xml:space="preserve"> </w:t>
      </w:r>
      <w:r>
        <w:t xml:space="preserve">This capability supports: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164.308(a)(4)</w:t>
      </w:r>
      <w:r>
        <w:t xml:space="preserve"> </w:t>
      </w:r>
      <w:r>
        <w:t xml:space="preserve">(information access management is enforced via policy);</w:t>
      </w:r>
      <w:r>
        <w:t xml:space="preserve"> </w:t>
      </w:r>
      <w:r>
        <w:rPr>
          <w:rStyle w:val="VerbatimChar"/>
        </w:rPr>
        <w:t xml:space="preserve">164.312(a)(1)</w:t>
      </w:r>
      <w:r>
        <w:t xml:space="preserve"> </w:t>
      </w:r>
      <w:r>
        <w:t xml:space="preserve">(access control is implemented as policy)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1.2.1</w:t>
      </w:r>
      <w:r>
        <w:t xml:space="preserve"> </w:t>
      </w:r>
      <w:r>
        <w:t xml:space="preserve">(network security controls are the segmentation evidence);</w:t>
      </w:r>
      <w:r>
        <w:t xml:space="preserve"> </w:t>
      </w:r>
      <w:r>
        <w:rPr>
          <w:rStyle w:val="VerbatimChar"/>
        </w:rPr>
        <w:t xml:space="preserve">1.3</w:t>
      </w:r>
      <w:r>
        <w:t xml:space="preserve"> </w:t>
      </w:r>
      <w:r>
        <w:t xml:space="preserve">(no direct internet access to CDE requires enforced policy);</w:t>
      </w:r>
      <w:r>
        <w:t xml:space="preserve"> </w:t>
      </w:r>
      <w:r>
        <w:rPr>
          <w:rStyle w:val="VerbatimChar"/>
        </w:rPr>
        <w:t xml:space="preserve">12.5.3</w:t>
      </w:r>
      <w:r>
        <w:t xml:space="preserve"> </w:t>
      </w:r>
      <w:r>
        <w:t xml:space="preserve">(segmentation effectiveness is tested annually)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AC-3</w:t>
      </w:r>
      <w:r>
        <w:t xml:space="preserve"> </w:t>
      </w:r>
      <w:r>
        <w:t xml:space="preserve">(access enforcement is implemented as policy);</w:t>
      </w:r>
      <w:r>
        <w:t xml:space="preserve"> </w:t>
      </w:r>
      <w:r>
        <w:rPr>
          <w:rStyle w:val="VerbatimChar"/>
        </w:rPr>
        <w:t xml:space="preserve">AC-4</w:t>
      </w:r>
      <w:r>
        <w:t xml:space="preserve"> </w:t>
      </w:r>
      <w:r>
        <w:t xml:space="preserve">(information flow enforcement is the segmentation control);</w:t>
      </w:r>
      <w:r>
        <w:t xml:space="preserve"> </w:t>
      </w:r>
      <w:r>
        <w:rPr>
          <w:rStyle w:val="VerbatimChar"/>
        </w:rPr>
        <w:t xml:space="preserve">CM-7</w:t>
      </w:r>
      <w:r>
        <w:t xml:space="preserve"> </w:t>
      </w:r>
      <w:r>
        <w:t xml:space="preserve">(least functionality limits flows to what is needed);</w:t>
      </w:r>
      <w:r>
        <w:t xml:space="preserve"> </w:t>
      </w:r>
      <w:r>
        <w:rPr>
          <w:rStyle w:val="VerbatimChar"/>
        </w:rPr>
        <w:t xml:space="preserve">SC-7</w:t>
      </w:r>
      <w:r>
        <w:t xml:space="preserve"> </w:t>
      </w:r>
      <w:r>
        <w:t xml:space="preserve">(boundary protection is segmentation)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Art.9</w:t>
      </w:r>
      <w:r>
        <w:t xml:space="preserve"> </w:t>
      </w:r>
      <w:r>
        <w:t xml:space="preserve">(ICT security includes segmentation of critical assets)</w:t>
      </w:r>
    </w:p>
    <w:bookmarkEnd w:id="13"/>
    <w:bookmarkStart w:id="14" w:name="Xce213dd880b2089efee0902c1e88edd5539def6"/>
    <w:p>
      <w:pPr>
        <w:pStyle w:val="Heading3"/>
      </w:pPr>
      <w:r>
        <w:t xml:space="preserve">47 scopes defined</w:t>
      </w:r>
    </w:p>
    <w:p>
      <w:pPr>
        <w:pStyle w:val="FirstParagraph"/>
      </w:pPr>
      <w:r>
        <w:t xml:space="preserve">A scope hierarchy this deep means the segmentation model reflects organisational reality - prerequisite for least-privilege at scale.</w:t>
      </w:r>
    </w:p>
    <w:p>
      <w:pPr>
        <w:pStyle w:val="BodyText"/>
      </w:pPr>
      <w:r>
        <w:rPr>
          <w:b/>
          <w:bCs/>
        </w:rPr>
        <w:t xml:space="preserve">Compliance reinforcement.</w:t>
      </w:r>
      <w:r>
        <w:t xml:space="preserve"> </w:t>
      </w:r>
      <w:r>
        <w:t xml:space="preserve">This capability supports: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164.308(a)(1)(ii)(A)</w:t>
      </w:r>
      <w:r>
        <w:t xml:space="preserve"> </w:t>
      </w:r>
      <w:r>
        <w:t xml:space="preserve">(risk analysis requires knowing what's in scope);</w:t>
      </w:r>
      <w:r>
        <w:t xml:space="preserve"> </w:t>
      </w:r>
      <w:r>
        <w:rPr>
          <w:rStyle w:val="VerbatimChar"/>
        </w:rPr>
        <w:t xml:space="preserve">164.310(c)</w:t>
      </w:r>
      <w:r>
        <w:t xml:space="preserve"> </w:t>
      </w:r>
      <w:r>
        <w:t xml:space="preserve">(workstation security depends on inventory)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1.2.1</w:t>
      </w:r>
      <w:r>
        <w:t xml:space="preserve"> </w:t>
      </w:r>
      <w:r>
        <w:t xml:space="preserve">(network controls depend on knowing what they protect)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AU-2</w:t>
      </w:r>
      <w:r>
        <w:t xml:space="preserve"> </w:t>
      </w:r>
      <w:r>
        <w:t xml:space="preserve">(audit events presume coverage of every workload);</w:t>
      </w:r>
      <w:r>
        <w:t xml:space="preserve"> </w:t>
      </w:r>
      <w:r>
        <w:rPr>
          <w:rStyle w:val="VerbatimChar"/>
        </w:rPr>
        <w:t xml:space="preserve">SI-4</w:t>
      </w:r>
      <w:r>
        <w:t xml:space="preserve"> </w:t>
      </w:r>
      <w:r>
        <w:t xml:space="preserve">(system monitoring requires telemetry from every workload)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Art.8</w:t>
      </w:r>
      <w:r>
        <w:t xml:space="preserve"> </w:t>
      </w:r>
      <w:r>
        <w:t xml:space="preserve">(ICT risk management requires complete asset inventory);</w:t>
      </w:r>
      <w:r>
        <w:t xml:space="preserve"> </w:t>
      </w:r>
      <w:r>
        <w:rPr>
          <w:rStyle w:val="VerbatimChar"/>
        </w:rPr>
        <w:t xml:space="preserve">Art.9</w:t>
      </w:r>
      <w:r>
        <w:t xml:space="preserve"> </w:t>
      </w:r>
      <w:r>
        <w:t xml:space="preserve">(ICT security depends on knowing the estate)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what-wed-recommend-addressing"/>
    <w:p>
      <w:pPr>
        <w:pStyle w:val="Heading2"/>
      </w:pPr>
      <w:r>
        <w:t xml:space="preserve">What we'd recommend addressing</w:t>
      </w:r>
    </w:p>
    <w:p>
      <w:pPr>
        <w:pStyle w:val="BlockText"/>
      </w:pPr>
      <w:r>
        <w:rPr>
          <w:b/>
          <w:bCs/>
        </w:rPr>
        <w:t xml:space="preserve">Why these matter beyond the score.</w:t>
      </w:r>
      <w:r>
        <w:t xml:space="preserve"> </w:t>
      </w:r>
      <w:r>
        <w:t xml:space="preserve">The 4 items below</w:t>
      </w:r>
      <w:r>
        <w:t xml:space="preserve"> </w:t>
      </w:r>
      <w:r>
        <w:t xml:space="preserve">together touch</w:t>
      </w:r>
      <w:r>
        <w:t xml:space="preserve"> </w:t>
      </w:r>
      <w:r>
        <w:rPr>
          <w:b/>
          <w:bCs/>
        </w:rPr>
        <w:t xml:space="preserve">7 not-yet-met controls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4 frameworks</w:t>
      </w:r>
      <w:r>
        <w:t xml:space="preserve"> </w:t>
      </w:r>
      <w:r>
        <w:t xml:space="preserve">(HIPAA, NIST-800-53, PCI-DSS, DORA). Each item lists the specific</w:t>
      </w:r>
      <w:r>
        <w:t xml:space="preserve"> </w:t>
      </w:r>
      <w:r>
        <w:t xml:space="preserve">control IDs it would help close, so the work can be tracked back to a</w:t>
      </w:r>
      <w:r>
        <w:t xml:space="preserve"> </w:t>
      </w:r>
      <w:r>
        <w:t xml:space="preserve">compliance line item.</w:t>
      </w:r>
    </w:p>
    <w:bookmarkStart w:id="16" w:name="few-absolute-policies-in-place"/>
    <w:p>
      <w:pPr>
        <w:pStyle w:val="Heading3"/>
      </w:pPr>
      <w:r>
        <w:t xml:space="preserve">Few absolute policies in place</w:t>
      </w:r>
    </w:p>
    <w:p>
      <w:pPr>
        <w:pStyle w:val="FirstParagraph"/>
      </w:pPr>
      <w:r>
        <w:rPr>
          <w:i/>
          <w:iCs/>
        </w:rPr>
        <w:t xml:space="preserve">Category: segmentation · Estimated posture uplift if addressed: +6 pts</w:t>
      </w:r>
    </w:p>
    <w:p>
      <w:pPr>
        <w:pStyle w:val="BodyText"/>
      </w:pPr>
      <w:r>
        <w:t xml:space="preserve">Absolute policies are the right tool for crown-jewel isolation (PHI, cardholder data, regulated systems). Their absence indicates the segmentation strategy is still permissive-by-default.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164.312(e)(1)</w:t>
      </w:r>
      <w:r>
        <w:t xml:space="preserve"> </w:t>
      </w:r>
      <w:r>
        <w:t xml:space="preserve">(transmission security relies on segmentation)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SC-7(5)</w:t>
      </w:r>
      <w:r>
        <w:t xml:space="preserve"> </w:t>
      </w:r>
      <w:r>
        <w:t xml:space="preserve">(deny-by-default requires absolute policies)</w:t>
      </w:r>
    </w:p>
    <w:bookmarkEnd w:id="16"/>
    <w:bookmarkStart w:id="17" w:name="X8d0c208a1c53a3e586bd6c10ef9a391588ccb67"/>
    <w:p>
      <w:pPr>
        <w:pStyle w:val="Heading3"/>
      </w:pPr>
      <w:r>
        <w:t xml:space="preserve">64 policies remain in monitor mode</w:t>
      </w:r>
    </w:p>
    <w:p>
      <w:pPr>
        <w:pStyle w:val="FirstParagraph"/>
      </w:pPr>
      <w:r>
        <w:rPr>
          <w:i/>
          <w:iCs/>
        </w:rPr>
        <w:t xml:space="preserve">Category: segmentation · Estimated posture uplift if addressed: +3 pts</w:t>
      </w:r>
    </w:p>
    <w:p>
      <w:pPr>
        <w:pStyle w:val="BodyText"/>
      </w:pPr>
      <w:r>
        <w:t xml:space="preserve">Monitor-mode policies generate evidence but do not block lateral movement. Promoting reviewed policies to enforce directly improves the segmentation score component.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HIPAA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164.312(e)(1)</w:t>
      </w:r>
      <w:r>
        <w:t xml:space="preserve"> </w:t>
      </w:r>
      <w:r>
        <w:t xml:space="preserve">(transmission security relies on segmentation)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NIST-800-53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SC-7(5)</w:t>
      </w:r>
      <w:r>
        <w:t xml:space="preserve"> </w:t>
      </w:r>
      <w:r>
        <w:t xml:space="preserve">(deny-by-default requires absolute policies)</w:t>
      </w:r>
    </w:p>
    <w:bookmarkEnd w:id="17"/>
    <w:bookmarkStart w:id="18" w:name="Xa3d72f6a66cd88ecd43ad2740e7a530a173f7a3"/>
    <w:p>
      <w:pPr>
        <w:pStyle w:val="Heading3"/>
      </w:pPr>
      <w:r>
        <w:t xml:space="preserve">7 critical CVEs on workloads</w:t>
      </w:r>
    </w:p>
    <w:p>
      <w:pPr>
        <w:pStyle w:val="FirstParagraph"/>
      </w:pPr>
      <w:r>
        <w:rPr>
          <w:i/>
          <w:iCs/>
        </w:rPr>
        <w:t xml:space="preserve">Category: hygiene · Estimated posture uplift if addressed: +3 pts</w:t>
      </w:r>
    </w:p>
    <w:p>
      <w:pPr>
        <w:pStyle w:val="BodyText"/>
      </w:pPr>
      <w:r>
        <w:t xml:space="preserve">CSW correlates package CVEs to running processes. Each critical CVE on an internet-reachable workload is a candidate for escalation to patching or compensating policy.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11.3</w:t>
      </w:r>
      <w:r>
        <w:t xml:space="preserve"> </w:t>
      </w:r>
      <w:r>
        <w:t xml:space="preserve">(vulnerability scanning evidence drives this control)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Art.10</w:t>
      </w:r>
      <w:r>
        <w:t xml:space="preserve"> </w:t>
      </w:r>
      <w:r>
        <w:t xml:space="preserve">(detection of ICT vulnerabilities)</w:t>
      </w:r>
    </w:p>
    <w:bookmarkEnd w:id="18"/>
    <w:bookmarkStart w:id="19" w:name="X29600faab9241fffe660d5f60430df8650094a8"/>
    <w:p>
      <w:pPr>
        <w:pStyle w:val="Heading3"/>
      </w:pPr>
      <w:r>
        <w:t xml:space="preserve">208 workloads without an agent</w:t>
      </w:r>
    </w:p>
    <w:p>
      <w:pPr>
        <w:pStyle w:val="FirstParagraph"/>
      </w:pPr>
      <w:r>
        <w:rPr>
          <w:i/>
          <w:iCs/>
        </w:rPr>
        <w:t xml:space="preserve">Category: visibility · Estimated posture uplift if addressed: +1 pts</w:t>
      </w:r>
    </w:p>
    <w:p>
      <w:pPr>
        <w:pStyle w:val="BodyText"/>
      </w:pPr>
      <w:r>
        <w:t xml:space="preserve">Workloads outside agent coverage are invisible to flow analytics, ADM, and policy enforcement. Closing this gap unlocks visibility-driven controls in every framework.</w:t>
      </w:r>
    </w:p>
    <w:p>
      <w:pPr>
        <w:pStyle w:val="BodyText"/>
      </w:pPr>
      <w:r>
        <w:rPr>
          <w:b/>
          <w:bCs/>
        </w:rPr>
        <w:t xml:space="preserve">Compliance impact if addressed.</w:t>
      </w:r>
      <w:r>
        <w:t xml:space="preserve"> </w:t>
      </w:r>
      <w:r>
        <w:t xml:space="preserve">Closing this gap helps move: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PCI-DSS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11.3</w:t>
      </w:r>
      <w:r>
        <w:t xml:space="preserve"> </w:t>
      </w:r>
      <w:r>
        <w:t xml:space="preserve">(penetration-test scope is set by inventory)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uggested-30-day-plan"/>
    <w:p>
      <w:pPr>
        <w:pStyle w:val="Heading2"/>
      </w:pPr>
      <w:r>
        <w:t xml:space="preserve">Suggested 30-day plan</w:t>
      </w:r>
    </w:p>
    <w:p>
      <w:pPr>
        <w:pStyle w:val="FirstParagraph"/>
      </w:pPr>
      <w:r>
        <w:t xml:space="preserve">The plan is sequenced so each week's work feeds the next; weeks 1-2 are</w:t>
      </w:r>
      <w:r>
        <w:t xml:space="preserve"> </w:t>
      </w:r>
      <w:r>
        <w:t xml:space="preserve">foundation moves, week 3 is the highest-leverage policy promotion, and</w:t>
      </w:r>
      <w:r>
        <w:t xml:space="preserve"> </w:t>
      </w:r>
      <w:r>
        <w:t xml:space="preserve">week 4 closes the loop with a re-measurement.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Wk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Addresses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 agent-coverage gap.</w:t>
            </w:r>
            <w:r>
              <w:t xml:space="preserve"> </w:t>
            </w:r>
            <w:r>
              <w:t xml:space="preserve">Identify the 208 workloads without an agent. Triage into: (a) deploy now, (b) excluded by policy, (c) decommission. Track in a single ticket; aim for 95%+ coverage.</w:t>
            </w:r>
          </w:p>
        </w:tc>
        <w:tc>
          <w:tcPr/>
          <w:p>
            <w:pPr>
              <w:pStyle w:val="Compact"/>
            </w:pPr>
            <w:r>
              <w:t xml:space="preserve">Platform Engineering</w:t>
            </w:r>
          </w:p>
        </w:tc>
        <w:tc>
          <w:tcPr/>
          <w:p>
            <w:pPr>
              <w:pStyle w:val="Compact"/>
            </w:pPr>
            <w:r>
              <w:t xml:space="preserve">208 workloads without an agent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absolute policies for crown jewels.</w:t>
            </w:r>
            <w:r>
              <w:t xml:space="preserve"> </w:t>
            </w:r>
            <w:r>
              <w:t xml:space="preserve">Identify the top 3 crown-jewel scopes (databases of regulated data, payment systems, PHI stores). Draft absolute policies that take precedence over inherited rules.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Few absolute policies in place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Promote vetted policies to enforce mode.</w:t>
            </w:r>
            <w:r>
              <w:t xml:space="preserve"> </w:t>
            </w:r>
            <w:r>
              <w:t xml:space="preserve">Run the 30-day flow review on monitor-mode policies for top 3 scopes. Promote those with no false-positive flow violations to enforce.</w:t>
            </w:r>
          </w:p>
        </w:tc>
        <w:tc>
          <w:tcPr/>
          <w:p>
            <w:pPr>
              <w:pStyle w:val="Compact"/>
            </w:pPr>
            <w:r>
              <w:t xml:space="preserve">Security Operations</w:t>
            </w:r>
          </w:p>
        </w:tc>
        <w:tc>
          <w:tcPr/>
          <w:p>
            <w:pPr>
              <w:pStyle w:val="Compact"/>
            </w:pPr>
            <w:r>
              <w:t xml:space="preserve">64 policies remain in monitor mode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Address top critical CVEs.</w:t>
            </w:r>
            <w:r>
              <w:t xml:space="preserve"> </w:t>
            </w:r>
            <w:r>
              <w:t xml:space="preserve">Pull the CSW vulnerability dashboard, sort by internet exposure + severity, dispatch top 10 to patching or compensating-policy workstreams.</w:t>
            </w:r>
          </w:p>
        </w:tc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t xml:space="preserve">7 critical CVEs on workloads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evidence and report.</w:t>
            </w:r>
            <w:r>
              <w:t xml:space="preserve"> </w:t>
            </w:r>
            <w:r>
              <w:t xml:space="preserve">Re-run csw-insights against the tenant. Compare posture score to baseline; share delta with steering committee.</w:t>
            </w:r>
          </w:p>
        </w:tc>
        <w:tc>
          <w:tcPr/>
          <w:p>
            <w:pPr>
              <w:pStyle w:val="Compact"/>
            </w:pPr>
            <w:r>
              <w:t xml:space="preserve">Compliance / GRC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64f94360e454b688932070479697d8ce03269b8"/>
    <w:p>
      <w:pPr>
        <w:pStyle w:val="Heading2"/>
      </w:pPr>
      <w:r>
        <w:t xml:space="preserve">How CSW shows up across the frameworks you care about</w:t>
      </w:r>
    </w:p>
    <w:p>
      <w:pPr>
        <w:pStyle w:val="FirstParagraph"/>
      </w:pPr>
      <w:r>
        <w:t xml:space="preserve">For each framework below, the runbooks and reports in</w:t>
      </w:r>
      <w:r>
        <w:t xml:space="preserve"> </w:t>
      </w:r>
      <w:r>
        <w:rPr>
          <w:rStyle w:val="VerbatimChar"/>
        </w:rPr>
        <w:t xml:space="preserve">CSW-Compliance-Mapping</w:t>
      </w:r>
      <w:r>
        <w:t xml:space="preserve"> </w:t>
      </w:r>
      <w:r>
        <w:t xml:space="preserve">walk through the specific controls this evidence</w:t>
      </w:r>
      <w:r>
        <w:t xml:space="preserve"> </w:t>
      </w:r>
      <w:r>
        <w:t xml:space="preserve">supports. The numbers here are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state of controls evaluated</w:t>
      </w:r>
      <w:r>
        <w:t xml:space="preserve"> </w:t>
      </w:r>
      <w:r>
        <w:t xml:space="preserve">in this tenant.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Controls evaluated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HIPAA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PCI-DSS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NIST-800-53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mo-able-artefacts"/>
    <w:p>
      <w:pPr>
        <w:pStyle w:val="Heading2"/>
      </w:pPr>
      <w:r>
        <w:t xml:space="preserve">Demo-able artefacts</w:t>
      </w:r>
    </w:p>
    <w:p>
      <w:pPr>
        <w:pStyle w:val="FirstParagraph"/>
      </w:pPr>
      <w:r>
        <w:t xml:space="preserve">The same evidence bundle that produced this report can also drive: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 (Application Dependency Mapping) walk-through</w:t>
      </w:r>
      <w:r>
        <w:t xml:space="preserve"> </w:t>
      </w:r>
      <w:r>
        <w:t xml:space="preserve">— visualise the</w:t>
      </w:r>
      <w:r>
        <w:t xml:space="preserve"> </w:t>
      </w:r>
      <w:r>
        <w:t xml:space="preserve">highest-blast-radius workloads we identified.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Policy what-if</w:t>
      </w:r>
      <w:r>
        <w:t xml:space="preserve"> </w:t>
      </w:r>
      <w:r>
        <w:t xml:space="preserve">— replay 24h of flow data against a candidate policy</w:t>
      </w:r>
      <w:r>
        <w:t xml:space="preserve"> </w:t>
      </w:r>
      <w:r>
        <w:t xml:space="preserve">to show enforcement impact before promoting.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Vulnerability dashboard</w:t>
      </w:r>
      <w:r>
        <w:t xml:space="preserve"> </w:t>
      </w:r>
      <w:r>
        <w:t xml:space="preserve">— sort the critical CVEs above by internet</w:t>
      </w:r>
      <w:r>
        <w:t xml:space="preserve"> </w:t>
      </w:r>
      <w:r>
        <w:t xml:space="preserve">exposure to pick the top 10 patching candidates.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Auditor-ready evidence bundle</w:t>
      </w:r>
      <w:r>
        <w:t xml:space="preserve"> </w:t>
      </w:r>
      <w:r>
        <w:t xml:space="preserve">— the signed JSON used to render this</w:t>
      </w:r>
      <w:r>
        <w:t xml:space="preserve"> </w:t>
      </w:r>
      <w:r>
        <w:t xml:space="preserve">report drops directly into the framework runbooks.</w:t>
      </w:r>
    </w:p>
    <w:p>
      <w:r>
        <w:pict>
          <v:rect style="width:0;height:1.5pt" o:hralign="center" o:hrstd="t" o:hr="t"/>
        </w:pict>
      </w:r>
    </w:p>
    <w:bookmarkEnd w:id="23"/>
    <w:bookmarkStart w:id="24" w:name="what-wed-like-to-do-next"/>
    <w:p>
      <w:pPr>
        <w:pStyle w:val="Heading2"/>
      </w:pPr>
      <w:r>
        <w:t xml:space="preserve">What we'd like to do next</w:t>
      </w:r>
    </w:p>
    <w:p>
      <w:pPr>
        <w:pStyle w:val="Compact"/>
        <w:numPr>
          <w:ilvl w:val="0"/>
          <w:numId w:val="1011"/>
        </w:numPr>
      </w:pPr>
      <w:r>
        <w:t xml:space="preserve">Walk through the top 3 risks above with your platform/security teams.</w:t>
      </w:r>
    </w:p>
    <w:p>
      <w:pPr>
        <w:pStyle w:val="Compact"/>
        <w:numPr>
          <w:ilvl w:val="0"/>
          <w:numId w:val="1011"/>
        </w:numPr>
      </w:pPr>
      <w:r>
        <w:t xml:space="preserve">Pick one risk to address this sprint; re-run</w:t>
      </w:r>
      <w:r>
        <w:t xml:space="preserve"> </w:t>
      </w:r>
      <w:r>
        <w:rPr>
          <w:rStyle w:val="VerbatimChar"/>
        </w:rPr>
        <w:t xml:space="preserve">csw-insights</w:t>
      </w:r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11"/>
        </w:numPr>
      </w:pPr>
      <w:r>
        <w:t xml:space="preserve">Use the resulting before/after delta as the proof point for the</w:t>
      </w:r>
      <w:r>
        <w:t xml:space="preserve"> </w:t>
      </w:r>
      <w:r>
        <w:t xml:space="preserve">wider rollout business case.</w:t>
      </w:r>
    </w:p>
    <w:p>
      <w:pPr>
        <w:pStyle w:val="FirstParagraph"/>
      </w:pPr>
      <w:r>
        <w:rPr>
          <w:i/>
          <w:iCs/>
        </w:rPr>
        <w:t xml:space="preserve">Materials, scripts, and templates are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CSW-Tenant-Insights</w:t>
      </w:r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underlying compliance narrative is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CSW-Compliance-Mapping</w:t>
      </w:r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evidence collection runs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CSW-API-Compliance-Automation</w:t>
      </w:r>
      <w:r>
        <w:rPr>
          <w:i/>
          <w:iCs/>
        </w:rP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2026-05-01T20:18:29Z</dcterms:created>
  <dcterms:modified xsi:type="dcterms:W3CDTF">2026-05-01T20:18:29Z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