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sw-posture-brief--acme"/>
    <w:p>
      <w:pPr>
        <w:pStyle w:val="Heading1"/>
      </w:pPr>
      <w:r>
        <w:t xml:space="preserve">CSW Posture Brief — acme</w:t>
      </w:r>
    </w:p>
    <w:p>
      <w:pPr>
        <w:pStyle w:val="FirstParagraph"/>
      </w:pPr>
      <w:r>
        <w:rPr>
          <w:i/>
          <w:iCs/>
        </w:rPr>
        <w:t xml:space="preserve">One-page board update generated 2026-05-01T18:30:00Z. Source: live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bundle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https://csw.acme-demo.local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posture-score"/>
    <w:p>
      <w:pPr>
        <w:pStyle w:val="Heading2"/>
      </w:pPr>
      <w:r>
        <w:t xml:space="preserve">Posture score</w:t>
      </w:r>
    </w:p>
    <w:p>
      <w:pPr>
        <w:pStyle w:val="BlockText"/>
      </w:pPr>
      <w:r>
        <w:rPr>
          <w:b/>
          <w:bCs/>
        </w:rPr>
        <w:t xml:space="preserve">75 / 100 (C)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/ 25</w:t>
            </w:r>
          </w:p>
        </w:tc>
        <w:tc>
          <w:tcPr/>
          <w:p>
            <w:pPr>
              <w:pStyle w:val="Compact"/>
            </w:pPr>
            <w:r>
              <w:t xml:space="preserve">4612/4820 workloads reporting (95.7% agent coverage).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/ 30</w:t>
            </w:r>
          </w:p>
        </w:tc>
        <w:tc>
          <w:tcPr/>
          <w:p>
            <w:pPr>
              <w:pStyle w:val="Compact"/>
            </w:pPr>
            <w:r>
              <w:t xml:space="preserve">312 policies, 248 in enforce mode (79%), 41 absolute (13%).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/ 20</w:t>
            </w:r>
          </w:p>
        </w:tc>
        <w:tc>
          <w:tcPr/>
          <w:p>
            <w:pPr>
              <w:pStyle w:val="Compact"/>
            </w:pPr>
            <w:r>
              <w:t xml:space="preserve">7 critical, 64 high CVEs detected on workloads.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/ 15</w:t>
            </w:r>
          </w:p>
        </w:tc>
        <w:tc>
          <w:tcPr/>
          <w:p>
            <w:pPr>
              <w:pStyle w:val="Compact"/>
            </w:pPr>
            <w:r>
              <w:t xml:space="preserve">24 enforcement alerts in last 24h.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/ 10</w:t>
            </w:r>
          </w:p>
        </w:tc>
        <w:tc>
          <w:tcPr/>
          <w:p>
            <w:pPr>
              <w:pStyle w:val="Compact"/>
            </w:pPr>
            <w:r>
              <w:t xml:space="preserve">21/25 controls marked 'met' across 4 frameworks.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whats-working-5"/>
    <w:p>
      <w:pPr>
        <w:pStyle w:val="Heading2"/>
      </w:pPr>
      <w:r>
        <w:t xml:space="preserve">What's working (5)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coverage at 95.7%.</w:t>
      </w:r>
      <w:r>
        <w:t xml:space="preserve"> </w:t>
      </w:r>
      <w:r>
        <w:t xml:space="preserve">Strong agent coverage means flow analytics, ADM recommendations, and policy enforcement are operating on the real estate, not a sample.</w:t>
      </w:r>
      <w:r>
        <w:t xml:space="preserve"> </w:t>
      </w:r>
      <w:r>
        <w:rPr>
          <w:i/>
          <w:iCs/>
        </w:rPr>
        <w:t xml:space="preserve">Reinforces:</w:t>
      </w:r>
      <w:r>
        <w:t xml:space="preserve"> </w:t>
      </w:r>
      <w:r>
        <w:t xml:space="preserve">HIPAA (2); PCI-DSS (1); NIST-800-53 (2); DORA (2).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312 policies authored.</w:t>
      </w:r>
      <w:r>
        <w:t xml:space="preserve"> </w:t>
      </w:r>
      <w:r>
        <w:t xml:space="preserve">A populated policy library indicates segmentation is past initial discovery and into active design.</w:t>
      </w:r>
      <w:r>
        <w:t xml:space="preserve"> </w:t>
      </w:r>
      <w:r>
        <w:rPr>
          <w:i/>
          <w:iCs/>
        </w:rPr>
        <w:t xml:space="preserve">Reinforces:</w:t>
      </w:r>
      <w:r>
        <w:t xml:space="preserve"> </w:t>
      </w:r>
      <w:r>
        <w:t xml:space="preserve">HIPAA (2); PCI-DSS (3); NIST-800-53 (4); DORA (1).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79% of policies in enforce mode.</w:t>
      </w:r>
      <w:r>
        <w:t xml:space="preserve"> </w:t>
      </w:r>
      <w:r>
        <w:t xml:space="preserve">Enforcement-mode policies are the difference between an audit narrative and a control. This ratio is the single best evidence the program is operational.</w:t>
      </w:r>
      <w:r>
        <w:t xml:space="preserve"> </w:t>
      </w:r>
      <w:r>
        <w:rPr>
          <w:i/>
          <w:iCs/>
        </w:rPr>
        <w:t xml:space="preserve">Reinforces:</w:t>
      </w:r>
      <w:r>
        <w:t xml:space="preserve"> </w:t>
      </w:r>
      <w:r>
        <w:t xml:space="preserve">HIPAA (2); PCI-DSS (3); NIST-800-53 (4); DORA (1).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47 scopes defined.</w:t>
      </w:r>
      <w:r>
        <w:t xml:space="preserve"> </w:t>
      </w:r>
      <w:r>
        <w:t xml:space="preserve">A scope hierarchy this deep means the segmentation model reflects organisational reality - prerequisite for least-privilege at scale.</w:t>
      </w:r>
      <w:r>
        <w:t xml:space="preserve"> </w:t>
      </w:r>
      <w:r>
        <w:rPr>
          <w:i/>
          <w:iCs/>
        </w:rPr>
        <w:t xml:space="preserve">Reinforces:</w:t>
      </w:r>
      <w:r>
        <w:t xml:space="preserve"> </w:t>
      </w:r>
      <w:r>
        <w:t xml:space="preserve">HIPAA (2); PCI-DSS (1); NIST-800-53 (2); DORA (2).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 collected for 4 frameworks.</w:t>
      </w:r>
      <w:r>
        <w:t xml:space="preserve"> </w:t>
      </w:r>
      <w:r>
        <w:t xml:space="preserve">Re-using a single set of CSW evidence across multiple frameworks is the headline value proposition - this tenant is realising it.</w:t>
      </w:r>
      <w:r>
        <w:t xml:space="preserve"> </w:t>
      </w:r>
      <w:r>
        <w:rPr>
          <w:i/>
          <w:iCs/>
        </w:rPr>
        <w:t xml:space="preserve">Reinforces:</w:t>
      </w:r>
      <w:r>
        <w:t xml:space="preserve"> </w:t>
      </w:r>
      <w:r>
        <w:t xml:space="preserve">HIPAA (6); PCI-DSS (5); NIST-800-53 (7); DORA (3).</w:t>
      </w:r>
    </w:p>
    <w:bookmarkEnd w:id="10"/>
    <w:bookmarkStart w:id="11" w:name="where-to-focus-next-4"/>
    <w:p>
      <w:pPr>
        <w:pStyle w:val="Heading2"/>
      </w:pPr>
      <w:r>
        <w:t xml:space="preserve">Where to focus next (4)</w:t>
      </w:r>
    </w:p>
    <w:p>
      <w:pPr>
        <w:pStyle w:val="BlockText"/>
      </w:pPr>
      <w:r>
        <w:rPr>
          <w:b/>
          <w:bCs/>
        </w:rPr>
        <w:t xml:space="preserve">Compliance reach.</w:t>
      </w:r>
      <w:r>
        <w:t xml:space="preserve"> </w:t>
      </w:r>
      <w:r>
        <w:t xml:space="preserve">Addressing the items below would help close</w:t>
      </w:r>
      <w:r>
        <w:t xml:space="preserve"> </w:t>
      </w:r>
      <w:r>
        <w:rPr>
          <w:b/>
          <w:bCs/>
        </w:rPr>
        <w:t xml:space="preserve">~7 not-yet-met controls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4 frameworks</w:t>
      </w:r>
      <w:r>
        <w:t xml:space="preserve"> </w:t>
      </w:r>
      <w:r>
        <w:t xml:space="preserve">(HIPAA, NIST-800-53, PCI-DSS, DORA). The "Affects" column lists the</w:t>
      </w:r>
      <w:r>
        <w:t xml:space="preserve"> </w:t>
      </w:r>
      <w:r>
        <w:t xml:space="preserve">framework and the count of controls per row.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Affects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Few absolute policies in place</w:t>
            </w:r>
            <w:r>
              <w:t xml:space="preserve"> </w:t>
            </w:r>
            <w:r>
              <w:t xml:space="preserve">— Absolute policies are the right tool for crown-jewel isolation (PHI, cardholder data, regulated systems). Their absence indicates the segmentation strategy is still permissive-by-default.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 pts</w:t>
            </w:r>
          </w:p>
        </w:tc>
        <w:tc>
          <w:tcPr/>
          <w:p>
            <w:pPr>
              <w:pStyle w:val="Compact"/>
            </w:pPr>
            <w:r>
              <w:t xml:space="preserve">HIPAA (1); NIST-800-53 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 policies remain in monitor mode</w:t>
            </w:r>
            <w:r>
              <w:t xml:space="preserve"> </w:t>
            </w:r>
            <w:r>
              <w:t xml:space="preserve">— Monitor-mode policies generate evidence but do not block lateral movement. Promoting reviewed policies to enforce directly improves the segmentation score component.</w:t>
            </w:r>
          </w:p>
        </w:tc>
        <w:tc>
          <w:tcPr/>
          <w:p>
            <w:pPr>
              <w:pStyle w:val="Compact"/>
            </w:pPr>
            <w:r>
              <w:t xml:space="preserve">segmentation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 pts</w:t>
            </w:r>
          </w:p>
        </w:tc>
        <w:tc>
          <w:tcPr/>
          <w:p>
            <w:pPr>
              <w:pStyle w:val="Compact"/>
            </w:pPr>
            <w:r>
              <w:t xml:space="preserve">HIPAA (1); NIST-800-53 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critical CVEs on workloads</w:t>
            </w:r>
            <w:r>
              <w:t xml:space="preserve"> </w:t>
            </w:r>
            <w:r>
              <w:t xml:space="preserve">— CSW correlates package CVEs to running processes. Each critical CVE on an internet-reachable workload is a candidate for escalation to patching or compensating policy.</w:t>
            </w:r>
          </w:p>
        </w:tc>
        <w:tc>
          <w:tcPr/>
          <w:p>
            <w:pPr>
              <w:pStyle w:val="Compact"/>
            </w:pPr>
            <w:r>
              <w:t xml:space="preserve">hygiene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 pts</w:t>
            </w:r>
          </w:p>
        </w:tc>
        <w:tc>
          <w:tcPr/>
          <w:p>
            <w:pPr>
              <w:pStyle w:val="Compact"/>
            </w:pPr>
            <w:r>
              <w:t xml:space="preserve">PCI-DSS (1); DORA (1)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208 workloads without an agent</w:t>
            </w:r>
            <w:r>
              <w:t xml:space="preserve"> </w:t>
            </w:r>
            <w:r>
              <w:t xml:space="preserve">— Workloads outside agent coverage are invisible to flow analytics, ADM, and policy enforcement. Closing this gap unlocks visibility-driven controls in every framework.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 pts</w:t>
            </w:r>
          </w:p>
        </w:tc>
        <w:tc>
          <w:tcPr/>
          <w:p>
            <w:pPr>
              <w:pStyle w:val="Compact"/>
            </w:pPr>
            <w:r>
              <w:t xml:space="preserve">PCI-DSS 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817eaec70353f8a7078f67c0310e483539a5393"/>
    <w:p>
      <w:pPr>
        <w:pStyle w:val="Heading2"/>
      </w:pPr>
      <w:r>
        <w:t xml:space="preserve">30-day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agent-coverage gap.</w:t>
            </w:r>
            <w:r>
              <w:t xml:space="preserve"> </w:t>
            </w:r>
            <w:r>
              <w:t xml:space="preserve">Identify the 208 workloads without an agent. Triage into: (a) deploy now, (b) excluded by policy, (c) decommission. Track in a single ticket; aim for 95%+ coverage.</w:t>
            </w:r>
          </w:p>
        </w:tc>
        <w:tc>
          <w:tcPr/>
          <w:p>
            <w:pPr>
              <w:pStyle w:val="Compact"/>
            </w:pPr>
            <w:r>
              <w:t xml:space="preserve">Platform Engineering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absolute policies for crown jewels.</w:t>
            </w:r>
            <w:r>
              <w:t xml:space="preserve"> </w:t>
            </w:r>
            <w:r>
              <w:t xml:space="preserve">Identify the top 3 crown-jewel scopes (databases of regulated data, payment systems, PHI stores). Draft absolute policies that take precedence over inherited rules.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 vetted policies to enforce mode.</w:t>
            </w:r>
            <w:r>
              <w:t xml:space="preserve"> </w:t>
            </w:r>
            <w:r>
              <w:t xml:space="preserve">Run the 30-day flow review on monitor-mode policies for top 3 scopes. Promote those with no false-positive flow violations to enforce.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 top critical CVEs.</w:t>
            </w:r>
            <w:r>
              <w:t xml:space="preserve"> </w:t>
            </w:r>
            <w:r>
              <w:t xml:space="preserve">Pull the CSW vulnerability dashboard, sort by internet exposure + severity, dispatch top 10 to patching or compensating-policy workstreams.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evidence and report.</w:t>
            </w:r>
            <w:r>
              <w:t xml:space="preserve"> </w:t>
            </w:r>
            <w:r>
              <w:t xml:space="preserve">Re-run csw-insights against the tenant. Compare posture score to baseline; share delta with steering committee.</w:t>
            </w:r>
          </w:p>
        </w:tc>
        <w:tc>
          <w:tcPr/>
          <w:p>
            <w:pPr>
              <w:pStyle w:val="Compact"/>
            </w:pPr>
            <w:r>
              <w:t xml:space="preserve">Compliance / GRC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ompliance-posture-across-frameworks"/>
    <w:p>
      <w:pPr>
        <w:pStyle w:val="Heading2"/>
      </w:pPr>
      <w:r>
        <w:t xml:space="preserve">Compliance posture across frameworks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Controls evaluated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NIST-800-53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notes-for-the-board-pack"/>
    <w:p>
      <w:pPr>
        <w:pStyle w:val="Heading2"/>
      </w:pPr>
      <w:r>
        <w:t xml:space="preserve">Notes for the board pack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 of truth.</w:t>
      </w:r>
      <w:r>
        <w:t xml:space="preserve"> </w:t>
      </w:r>
      <w:r>
        <w:t xml:space="preserve">Every number above is traceable to the underlying</w:t>
      </w:r>
      <w:r>
        <w:t xml:space="preserve"> </w:t>
      </w:r>
      <w:r>
        <w:t xml:space="preserve">evidence bundle (</w:t>
      </w:r>
      <w:r>
        <w:rPr>
          <w:rStyle w:val="VerbatimChar"/>
        </w:rPr>
        <w:t xml:space="preserve">evidence/acme-2026-05-01.json</w:t>
      </w:r>
      <w:r>
        <w:t xml:space="preserve">)</w:t>
      </w:r>
      <w:r>
        <w:t xml:space="preserve"> </w:t>
      </w:r>
      <w:r>
        <w:t xml:space="preserve">signed at collection time. Auditors get the bundle; the board gets this page.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Cadence.</w:t>
      </w:r>
      <w:r>
        <w:t xml:space="preserve"> </w:t>
      </w:r>
      <w:r>
        <w:t xml:space="preserve">Re-running</w:t>
      </w:r>
      <w:r>
        <w:t xml:space="preserve"> </w:t>
      </w:r>
      <w:r>
        <w:rPr>
          <w:rStyle w:val="VerbatimChar"/>
        </w:rPr>
        <w:t xml:space="preserve">csw-insights</w:t>
      </w:r>
      <w:r>
        <w:t xml:space="preserve"> </w:t>
      </w:r>
      <w:r>
        <w:t xml:space="preserve">weekly produces the trend line; the</w:t>
      </w:r>
      <w:r>
        <w:t xml:space="preserve"> </w:t>
      </w:r>
      <w:r>
        <w:t xml:space="preserve">recommended cadence for board updates is monthly.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this is not.</w:t>
      </w:r>
      <w:r>
        <w:t xml:space="preserve"> </w:t>
      </w:r>
      <w:r>
        <w:t xml:space="preserve">A posture score is a management tool, not a compliance</w:t>
      </w:r>
      <w:r>
        <w:t xml:space="preserve"> </w:t>
      </w:r>
      <w:r>
        <w:t xml:space="preserve">attestation. Refer to the framework runbooks in</w:t>
      </w:r>
      <w:r>
        <w:t xml:space="preserve"> </w:t>
      </w:r>
      <w:r>
        <w:rPr>
          <w:rStyle w:val="VerbatimChar"/>
        </w:rPr>
        <w:t xml:space="preserve">CSW-Compliance-Mapping</w:t>
      </w:r>
      <w:r>
        <w:t xml:space="preserve"> </w:t>
      </w:r>
      <w:r>
        <w:t xml:space="preserve">for</w:t>
      </w:r>
      <w:r>
        <w:t xml:space="preserve"> </w:t>
      </w:r>
      <w:r>
        <w:t xml:space="preserve">control-by-control evidence.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2026-05-01T20:18:22Z</dcterms:created>
  <dcterms:modified xsi:type="dcterms:W3CDTF">2026-05-01T20:18:22Z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