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nant-comparison-acme-vs-customer1"/>
    <w:p>
      <w:pPr>
        <w:pStyle w:val="Heading1"/>
      </w:pPr>
      <w:r>
        <w:t xml:space="preserve">Tenant comparison: acme vs customer1</w:t>
      </w:r>
    </w:p>
    <w:p>
      <w:pPr>
        <w:pStyle w:val="FirstParagraph"/>
      </w:pPr>
      <w:r>
        <w:rPr>
          <w:i/>
          <w:iCs/>
        </w:rPr>
        <w:t xml:space="preserve">acme bundle: 2026-05-01T18:30:00Z; customer1 bundle: 2026-05-01T18:30:00Z.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Posture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(C)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Workloads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CVEs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 (24h)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</w:tr>
    </w:tbl>
    <w:bookmarkStart w:id="9" w:name="score-component-breakdown"/>
    <w:p>
      <w:pPr>
        <w:pStyle w:val="Heading2"/>
      </w:pPr>
      <w:r>
        <w:t xml:space="preserve">Score component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Hygiene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2026-05-01T20:18:39Z</dcterms:created>
  <dcterms:modified xsi:type="dcterms:W3CDTF">2026-05-01T20:18:39Z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