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8"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5"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4"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 For framework-by-framework mappings — customer-facing reports and matching SA / SE technical runbooks across HIPAA, SOC 2, PCI DSS v4, NIST 800-53, ISO 27001:2022, CISA ZTMM, FIPS 140, NIST 800-207 / 207A, DORA, NIS2, NERC CIP, TSA Pipeline, CIS Controls v8.1, NIST CSF 2.0, CMMC 2.0, and more — see the companion repository:</w:t>
      </w:r>
      <w:r>
        <w:t xml:space="preserve"> </w:t>
      </w:r>
      <w:hyperlink r:id="rId13">
        <w:r>
          <w:rPr>
            <w:rStyle w:val="Hyperlink"/>
            <w:b/>
            <w:bCs/>
          </w:rPr>
          <w:t xml:space="preserve">chandrapati/CSW-Compliance-Mapping</w:t>
        </w:r>
      </w:hyperlink>
      <w:r>
        <w:t xml:space="preserve">. Use it whenever a customer asks "how does CSW map to</w:t>
      </w:r>
      <w:r>
        <w:t xml:space="preserve"> </w:t>
      </w:r>
      <w:r>
        <w:rPr>
          <w:i/>
          <w:iCs/>
        </w:rPr>
        <w:t xml:space="preserve">&lt;framework&gt;</w:t>
      </w:r>
      <w:r>
        <w:t xml:space="preserve">?".</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4"/>
    <w:bookmarkEnd w:id="15"/>
    <w:bookmarkStart w:id="16"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6"/>
    <w:bookmarkStart w:id="17"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7"/>
    <w:bookmarkStart w:id="19" w:name="X379b2d95ae6a85ebda4985fdd640c1c5b25f9bc"/>
    <w:p>
      <w:pPr>
        <w:pStyle w:val="Heading2"/>
      </w:pPr>
      <w:r>
        <w:t xml:space="preserve">5. Phased Adoption Roadmap</w:t>
      </w:r>
    </w:p>
    <w:p>
      <w:pPr>
        <w:pStyle w:val="FirstParagraph"/>
      </w:pPr>
      <w:r>
        <w:t xml:space="preserve">CSW value compounds in phases. You do</w:t>
      </w:r>
      <w:r>
        <w:t xml:space="preserve"> </w:t>
      </w:r>
      <w:r>
        <w:rPr>
          <w:b/>
          <w:bCs/>
        </w:rPr>
        <w:t xml:space="preserve">not</w:t>
      </w:r>
      <w:r>
        <w:t xml:space="preserve"> </w:t>
      </w:r>
      <w:r>
        <w:t xml:space="preserve">need to wait for full Application Dependency Mapping (ADM) to get value — each phase below delivers a concrete outcome on its own, and a customer who stops after Phase 2 has already shrunk ransomware blast radius and isolated prod from non-prod.</w:t>
      </w:r>
    </w:p>
    <w:p>
      <w:pPr>
        <w:pStyle w:val="BodyText"/>
      </w:pPr>
      <w:r>
        <w:t xml:space="preserve">This section describes the</w:t>
      </w:r>
      <w:r>
        <w:t xml:space="preserve"> </w:t>
      </w:r>
      <w:r>
        <w:rPr>
          <w:b/>
          <w:bCs/>
        </w:rPr>
        <w:t xml:space="preserve">value-tier view</w:t>
      </w:r>
      <w:r>
        <w:t xml:space="preserve"> </w:t>
      </w:r>
      <w:r>
        <w:t xml:space="preserve">of adoption: what outcomes show up when. The tactical, step-by-step deployment playbook (tenant prep, agent rollout, label strategy, policy modeling, enforcement testing, operationalization) lives in</w:t>
      </w:r>
      <w:r>
        <w:t xml:space="preserve"> </w:t>
      </w:r>
      <w:r>
        <w:rPr>
          <w:b/>
          <w:bCs/>
        </w:rPr>
        <w:t xml:space="preserve">§ 8 CSW Onboarding Runbook</w:t>
      </w:r>
      <w:r>
        <w:t xml:space="preserve">.</w:t>
      </w:r>
    </w:p>
    <w:p>
      <w:pPr>
        <w:pStyle w:val="SourceCode"/>
      </w:pPr>
      <w:r>
        <w:rPr>
          <w:rStyle w:val="VerbatimChar"/>
        </w:rPr>
        <w:t xml:space="preserve">Week:      0 ─── 2 ─── 4 ─── 8 ─── 12+</w:t>
      </w:r>
      <w:r>
        <w:br/>
      </w:r>
      <w:r>
        <w:br/>
      </w:r>
      <w:r>
        <w:rPr>
          <w:rStyle w:val="VerbatimChar"/>
        </w:rPr>
        <w:t xml:space="preserve">Phase 1:   ███████                              Visibility</w:t>
      </w:r>
      <w:r>
        <w:br/>
      </w:r>
      <w:r>
        <w:rPr>
          <w:rStyle w:val="VerbatimChar"/>
        </w:rPr>
        <w:t xml:space="preserve">Phase 2:         ███████                        Macro Segmentation</w:t>
      </w:r>
      <w:r>
        <w:br/>
      </w:r>
      <w:r>
        <w:rPr>
          <w:rStyle w:val="VerbatimChar"/>
        </w:rPr>
        <w:t xml:space="preserve">Phase 3:               █████████████            ADM + App-Scope Micro-Segmentation</w:t>
      </w:r>
      <w:r>
        <w:br/>
      </w:r>
      <w:r>
        <w:rPr>
          <w:rStyle w:val="VerbatimChar"/>
        </w:rPr>
        <w:t xml:space="preserve">Phase 4:                     ██████████ ▶       Vulnerability-Driven Risk Reduction</w:t>
      </w:r>
      <w:r>
        <w:br/>
      </w:r>
      <w:r>
        <w:rPr>
          <w:rStyle w:val="VerbatimChar"/>
        </w:rPr>
        <w:t xml:space="preserve">Phase 5:                     ██████████ ▶       Forensics and Anomaly Detection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What you do</w:t>
            </w:r>
          </w:p>
        </w:tc>
        <w:tc>
          <w:tcPr/>
          <w:p>
            <w:pPr>
              <w:pStyle w:val="Compact"/>
            </w:pPr>
            <w:r>
              <w:t xml:space="preserve">What you ship</w:t>
            </w:r>
          </w:p>
        </w:tc>
        <w:tc>
          <w:tcPr/>
          <w:p>
            <w:pPr>
              <w:pStyle w:val="Compact"/>
            </w:pPr>
            <w:r>
              <w:t xml:space="preserve">Primary value</w:t>
            </w:r>
          </w:p>
        </w:tc>
      </w:tr>
      <w:tr>
        <w:tc>
          <w:tcPr/>
          <w:p>
            <w:pPr>
              <w:pStyle w:val="Compact"/>
            </w:pPr>
            <w:r>
              <w:rPr>
                <w:b/>
                <w:bCs/>
              </w:rPr>
              <w:t xml:space="preserve">1 — Visibility</w:t>
            </w:r>
          </w:p>
        </w:tc>
        <w:tc>
          <w:tcPr/>
          <w:p>
            <w:pPr>
              <w:pStyle w:val="Compact"/>
            </w:pPr>
            <w:r>
              <w:t xml:space="preserve">Week 0–2</w:t>
            </w:r>
          </w:p>
        </w:tc>
        <w:tc>
          <w:tcPr/>
          <w:p>
            <w:pPr>
              <w:pStyle w:val="Compact"/>
            </w:pPr>
            <w:r>
              <w:t xml:space="preserve">Deploy agents on a representative slice. Turn on cloud, CMDB, identity, and DNS connectors. Import existing labels.</w:t>
            </w:r>
          </w:p>
        </w:tc>
        <w:tc>
          <w:tcPr/>
          <w:p>
            <w:pPr>
              <w:pStyle w:val="Compact"/>
            </w:pPr>
            <w:r>
              <w:t xml:space="preserve">Workload inventory, label dictionary, L3 / L4 + process flow data, baseline dependency view.</w:t>
            </w:r>
          </w:p>
        </w:tc>
        <w:tc>
          <w:tcPr/>
          <w:p>
            <w:pPr>
              <w:pStyle w:val="Compact"/>
            </w:pPr>
            <w:r>
              <w:t xml:space="preserve">See what you actually have, with real flow truth — often the first time application owners can answer "who does this server talk to?".</w:t>
            </w:r>
          </w:p>
        </w:tc>
      </w:tr>
      <w:tr>
        <w:tc>
          <w:tcPr/>
          <w:p>
            <w:pPr>
              <w:pStyle w:val="Compact"/>
            </w:pPr>
            <w:r>
              <w:rPr>
                <w:b/>
                <w:bCs/>
              </w:rPr>
              <w:t xml:space="preserve">2 — Macro Segmentation</w:t>
            </w:r>
          </w:p>
        </w:tc>
        <w:tc>
          <w:tcPr/>
          <w:p>
            <w:pPr>
              <w:pStyle w:val="Compact"/>
            </w:pPr>
            <w:r>
              <w:t xml:space="preserve">Week 2–4</w:t>
            </w:r>
          </w:p>
        </w:tc>
        <w:tc>
          <w:tcPr/>
          <w:p>
            <w:pPr>
              <w:pStyle w:val="Compact"/>
            </w:pPr>
            <w:r>
              <w:t xml:space="preserve">Apply broad zone-to-zone policy in monitor mode, then enforcement: prod ↔ non-prod, prod ↔ dev / test / staging, user VLANs ↔ server zones. Deny lateral admin protocols (SMB, RDP, WinRM, WMI, PsExec, SSH) where no business app needs them. Isolate the backup tier and identity tier.</w:t>
            </w:r>
          </w:p>
        </w:tc>
        <w:tc>
          <w:tcPr/>
          <w:p>
            <w:pPr>
              <w:pStyle w:val="Compact"/>
            </w:pPr>
            <w:r>
              <w:t xml:space="preserve">Enforced macro policy with monitor-mode evidence and rollback plan.</w:t>
            </w:r>
          </w:p>
        </w:tc>
        <w:tc>
          <w:tcPr/>
          <w:p>
            <w:pPr>
              <w:pStyle w:val="Compact"/>
            </w:pPr>
            <w:r>
              <w:rPr>
                <w:b/>
                <w:bCs/>
              </w:rPr>
              <w:t xml:space="preserve">Biggest blast-radius reduction for the lowest effort.</w:t>
            </w:r>
            <w:r>
              <w:t xml:space="preserve"> </w:t>
            </w:r>
            <w:r>
              <w:t xml:space="preserve">Ransomware fan-out paths are cut. The prod / non-prod story holds up in audit. High-value tiers (backup, AD, hypervisor) are reachable only from where they should be.</w:t>
            </w:r>
          </w:p>
        </w:tc>
      </w:tr>
      <w:tr>
        <w:tc>
          <w:tcPr/>
          <w:p>
            <w:pPr>
              <w:pStyle w:val="Compact"/>
            </w:pPr>
            <w:r>
              <w:rPr>
                <w:b/>
                <w:bCs/>
              </w:rPr>
              <w:t xml:space="preserve">3 — ADM + App-Scope Micro-Segmentation</w:t>
            </w:r>
          </w:p>
        </w:tc>
        <w:tc>
          <w:tcPr/>
          <w:p>
            <w:pPr>
              <w:pStyle w:val="Compact"/>
            </w:pPr>
            <w:r>
              <w:t xml:space="preserve">Week 4–12 (per application wave)</w:t>
            </w:r>
          </w:p>
        </w:tc>
        <w:tc>
          <w:tcPr/>
          <w:p>
            <w:pPr>
              <w:pStyle w:val="Compact"/>
            </w:pPr>
            <w:r>
              <w:t xml:space="preserve">Run ADM on a chosen application. Review the dependency map with the app owner. Convert observed flows + labels into recommended allow rules. Move to monitor mode, tune, then staged enforcement. Repeat for the next app wave.</w:t>
            </w:r>
          </w:p>
        </w:tc>
        <w:tc>
          <w:tcPr/>
          <w:p>
            <w:pPr>
              <w:pStyle w:val="Compact"/>
            </w:pPr>
            <w:r>
              <w:t xml:space="preserve">Per-app dependency map, modeled policy, blocked-flow evidence, allowed-business-transaction evidence, app-owner signoff.</w:t>
            </w:r>
          </w:p>
        </w:tc>
        <w:tc>
          <w:tcPr/>
          <w:p>
            <w:pPr>
              <w:pStyle w:val="Compact"/>
            </w:pPr>
            <w:r>
              <w:t xml:space="preserve">True micro-segmentation around the application itself. Per-tier policy (web → app → db). App teams understand their own application, sometimes for the first time.</w:t>
            </w:r>
          </w:p>
        </w:tc>
      </w:tr>
      <w:tr>
        <w:tc>
          <w:tcPr/>
          <w:p>
            <w:pPr>
              <w:pStyle w:val="Compact"/>
            </w:pPr>
            <w:r>
              <w:rPr>
                <w:b/>
                <w:bCs/>
              </w:rPr>
              <w:t xml:space="preserve">4 — Vulnerability-Driven Risk Reduction</w:t>
            </w:r>
          </w:p>
        </w:tc>
        <w:tc>
          <w:tcPr/>
          <w:p>
            <w:pPr>
              <w:pStyle w:val="Compact"/>
            </w:pPr>
            <w:r>
              <w:t xml:space="preserve">Continuous from ~Week 8</w:t>
            </w:r>
          </w:p>
        </w:tc>
        <w:tc>
          <w:tcPr/>
          <w:p>
            <w:pPr>
              <w:pStyle w:val="Compact"/>
            </w:pPr>
            <w:r>
              <w:t xml:space="preserve">Ingest vulnerability data (scanner exports, CVE feeds). Tag workloads with risk labels (for example</w:t>
            </w:r>
            <w:r>
              <w:t xml:space="preserve"> </w:t>
            </w:r>
            <w:r>
              <w:rPr>
                <w:rStyle w:val="VerbatimChar"/>
              </w:rPr>
              <w:t xml:space="preserve">risk:high</w:t>
            </w:r>
            <w:r>
              <w:t xml:space="preserve">,</w:t>
            </w:r>
            <w:r>
              <w:t xml:space="preserve"> </w:t>
            </w:r>
            <w:r>
              <w:rPr>
                <w:rStyle w:val="VerbatimChar"/>
              </w:rPr>
              <w:t xml:space="preserve">cve:exploitable</w:t>
            </w:r>
            <w:r>
              <w:t xml:space="preserve">). Tighten policy automatically for high-risk workloads — restrict their reachable surface to admin / patch paths only until remediated.</w:t>
            </w:r>
          </w:p>
        </w:tc>
        <w:tc>
          <w:tcPr/>
          <w:p>
            <w:pPr>
              <w:pStyle w:val="Compact"/>
            </w:pPr>
            <w:r>
              <w:t xml:space="preserve">Risk-tagged inventory, tightened policy on vulnerable workloads, security and audit evidence.</w:t>
            </w:r>
          </w:p>
        </w:tc>
        <w:tc>
          <w:tcPr/>
          <w:p>
            <w:pPr>
              <w:pStyle w:val="Compact"/>
            </w:pPr>
            <w:r>
              <w:t xml:space="preserve">Defenders work the problems attackers actually try. When the next Log4J / Log4Shell-class CVE lands, exposure can be shrunk within the same day instead of waiting on patch cycles.</w:t>
            </w:r>
          </w:p>
        </w:tc>
      </w:tr>
      <w:tr>
        <w:tc>
          <w:tcPr/>
          <w:p>
            <w:pPr>
              <w:pStyle w:val="Compact"/>
            </w:pPr>
            <w:r>
              <w:rPr>
                <w:b/>
                <w:bCs/>
              </w:rPr>
              <w:t xml:space="preserve">5 — Forensics and Anomaly Detection</w:t>
            </w:r>
          </w:p>
        </w:tc>
        <w:tc>
          <w:tcPr/>
          <w:p>
            <w:pPr>
              <w:pStyle w:val="Compact"/>
            </w:pPr>
            <w:r>
              <w:t xml:space="preserve">Continuous from ~Week 8</w:t>
            </w:r>
          </w:p>
        </w:tc>
        <w:tc>
          <w:tcPr/>
          <w:p>
            <w:pPr>
              <w:pStyle w:val="Compact"/>
            </w:pPr>
            <w:r>
              <w:t xml:space="preserve">Use Secure Workload forensics events, flow-pattern anomaly detection, and SIEM / SOAR integration. Build playbooks that pair policy violations with host evidence.</w:t>
            </w:r>
          </w:p>
        </w:tc>
        <w:tc>
          <w:tcPr/>
          <w:p>
            <w:pPr>
              <w:pStyle w:val="Compact"/>
            </w:pPr>
            <w:r>
              <w:t xml:space="preserve">Forensics events, anomaly findings, SOC playbooks, IR evidence trails.</w:t>
            </w:r>
          </w:p>
        </w:tc>
        <w:tc>
          <w:tcPr/>
          <w:p>
            <w:pPr>
              <w:pStyle w:val="Compact"/>
            </w:pPr>
            <w:r>
              <w:t xml:space="preserve">Detection compounds with segmentation. Every blocked flow becomes evidence. Mean-time-to-detect drops because workload behavior is bounded by policy.</w:t>
            </w:r>
          </w:p>
        </w:tc>
      </w:tr>
    </w:tbl>
    <w:p>
      <w:pPr>
        <w:pStyle w:val="BodyText"/>
      </w:pPr>
      <w:r>
        <w:rPr>
          <w:b/>
          <w:bCs/>
        </w:rPr>
        <w:t xml:space="preserve">Key idea:</w:t>
      </w:r>
      <w:r>
        <w:t xml:space="preserve"> </w:t>
      </w:r>
      <w:r>
        <w:t xml:space="preserve">every phase is independently valuable. A customer who stops after Phase 2 still wins — ransomware fan-out is gone and prod is isolated from non-prod. A customer who reaches Phase 5 has continuous defense in depth, not a one-off project.</w:t>
      </w:r>
    </w:p>
    <w:bookmarkStart w:id="18" w:name="mapping-phases-to-videos-in-the-catalog"/>
    <w:p>
      <w:pPr>
        <w:pStyle w:val="Heading3"/>
      </w:pPr>
      <w:r>
        <w:t xml:space="preserve">Mapping phases to videos in the catalog</w:t>
      </w:r>
    </w:p>
    <w:p>
      <w:pPr>
        <w:pStyle w:val="Compact"/>
        <w:numPr>
          <w:ilvl w:val="0"/>
          <w:numId w:val="1006"/>
        </w:numPr>
      </w:pPr>
      <w:r>
        <w:rPr>
          <w:b/>
          <w:bCs/>
        </w:rPr>
        <w:t xml:space="preserve">Phase 1 — Visibility:</w:t>
      </w:r>
      <w:r>
        <w:t xml:space="preserve"> </w:t>
      </w:r>
      <w:r>
        <w:t xml:space="preserve">Agent Configuration Profile (#1), Scopes (#3), Labels (#4), Inventory Filters (#5), Flow Analysis (#10).</w:t>
      </w:r>
    </w:p>
    <w:p>
      <w:pPr>
        <w:pStyle w:val="Compact"/>
        <w:numPr>
          <w:ilvl w:val="0"/>
          <w:numId w:val="1006"/>
        </w:numPr>
      </w:pPr>
      <w:r>
        <w:rPr>
          <w:b/>
          <w:bCs/>
        </w:rPr>
        <w:t xml:space="preserve">Phase 2 — Macro Segmentation:</w:t>
      </w:r>
      <w:r>
        <w:t xml:space="preserve"> </w:t>
      </w:r>
      <w:r>
        <w:t xml:space="preserve">SSH Risk Reduction (#15), Terminal Services Segmentation (#16), Production and Test Risk Reduction (#6), VDI Segmentation (#17).</w:t>
      </w:r>
    </w:p>
    <w:p>
      <w:pPr>
        <w:pStyle w:val="Compact"/>
        <w:numPr>
          <w:ilvl w:val="0"/>
          <w:numId w:val="1006"/>
        </w:numPr>
      </w:pPr>
      <w:r>
        <w:rPr>
          <w:b/>
          <w:bCs/>
        </w:rPr>
        <w:t xml:space="preserve">Phase 3 — ADM + App-Scope Micro:</w:t>
      </w:r>
      <w:r>
        <w:t xml:space="preserve"> </w:t>
      </w:r>
      <w:r>
        <w:t xml:space="preserve">Application Dependency Mapping &amp; Policy Analysis (#7), Policy Visual and Quick Analysis (#8), Dynamic Workloads &amp; Policy (#9), AI-Driven Policy Suggestions (#33), Policy Statistics with AI Engine (#34).</w:t>
      </w:r>
    </w:p>
    <w:p>
      <w:pPr>
        <w:pStyle w:val="Compact"/>
        <w:numPr>
          <w:ilvl w:val="0"/>
          <w:numId w:val="1006"/>
        </w:numPr>
      </w:pPr>
      <w:r>
        <w:rPr>
          <w:b/>
          <w:bCs/>
        </w:rPr>
        <w:t xml:space="preserve">Phase 4 — Vulnerability-Driven Risk Reduction:</w:t>
      </w:r>
      <w:r>
        <w:t xml:space="preserve"> </w:t>
      </w:r>
      <w:r>
        <w:t xml:space="preserve">Vulnerabilities and Risk Reduction (#11), Log4J Risk Reduction (#14), Security Dashboard (#12).</w:t>
      </w:r>
    </w:p>
    <w:p>
      <w:pPr>
        <w:pStyle w:val="Compact"/>
        <w:numPr>
          <w:ilvl w:val="0"/>
          <w:numId w:val="1006"/>
        </w:numPr>
      </w:pPr>
      <w:r>
        <w:rPr>
          <w:b/>
          <w:bCs/>
        </w:rPr>
        <w:t xml:space="preserve">Phase 5 — Forensics and Anomaly Detection:</w:t>
      </w:r>
      <w:r>
        <w:t xml:space="preserve"> </w:t>
      </w:r>
      <w:r>
        <w:t xml:space="preserve">Forensics (#13), Flow Analysis (#10), Security Dashboard (#12).</w:t>
      </w:r>
    </w:p>
    <w:p>
      <w:r>
        <w:pict>
          <v:rect style="width:0;height:1.5pt" o:hralign="center" o:hrstd="t" o:hr="t"/>
        </w:pict>
      </w:r>
    </w:p>
    <w:bookmarkEnd w:id="18"/>
    <w:bookmarkEnd w:id="19"/>
    <w:bookmarkStart w:id="64" w:name="X34388d678d45029f6ea868320ccc3fef24f0f73"/>
    <w:p>
      <w:pPr>
        <w:pStyle w:val="Heading2"/>
      </w:pPr>
      <w:r>
        <w:t xml:space="preserve">6. CSW Video Library (Learning Path Order)</w:t>
      </w:r>
    </w:p>
    <w:p>
      <w:pPr>
        <w:pStyle w:val="FirstParagraph"/>
      </w:pPr>
      <w:r>
        <w:t xml:space="preserve">Videos are listed in the order that builds CSW skills fastest — not grouped by product theme.</w:t>
      </w:r>
      <w:r>
        <w:t xml:space="preserve"> </w:t>
      </w:r>
      <w:r>
        <w:rPr>
          <w:b/>
          <w:bCs/>
        </w:rPr>
        <w:t xml:space="preserve">Watch top to bottom</w:t>
      </w:r>
      <w:r>
        <w:t xml:space="preserve"> </w:t>
      </w:r>
      <w:r>
        <w:t xml:space="preserve">within each module. The</w:t>
      </w:r>
      <w:r>
        <w:t xml:space="preserve"> </w:t>
      </w:r>
      <w:r>
        <w:rPr>
          <w:b/>
          <w:bCs/>
        </w:rPr>
        <w:t xml:space="preserve">Catalog #</w:t>
      </w:r>
      <w:r>
        <w:t xml:space="preserve"> </w:t>
      </w:r>
      <w:r>
        <w:t xml:space="preserve">column matches the original Cisco slide numbering (used in § 5 phase mappings).</w:t>
      </w:r>
    </w:p>
    <w:bookmarkStart w:id="23" w:name="X79c14ae92492dca098785b61112f093e8b83cc5"/>
    <w:p>
      <w:pPr>
        <w:pStyle w:val="Heading3"/>
      </w:pPr>
      <w:r>
        <w:t xml:space="preserve">6.1 Module 1 — Foundations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w:t>
            </w:r>
          </w:p>
        </w:tc>
        <w:tc>
          <w:tcPr/>
          <w:p>
            <w:pPr>
              <w:pStyle w:val="Compact"/>
              <w:jc w:val="right"/>
            </w:pPr>
            <w:r>
              <w:t xml:space="preserve">3</w:t>
            </w:r>
          </w:p>
        </w:tc>
        <w:tc>
          <w:tcPr/>
          <w:p>
            <w:pPr>
              <w:pStyle w:val="Compact"/>
            </w:pPr>
            <w:r>
              <w:t xml:space="preserve">Scopes</w:t>
            </w:r>
          </w:p>
        </w:tc>
        <w:tc>
          <w:tcPr/>
          <w:p>
            <w:pPr>
              <w:pStyle w:val="Compact"/>
            </w:pPr>
            <w:r>
              <w:t xml:space="preserve">Group workloads logically for policy.</w:t>
            </w:r>
          </w:p>
        </w:tc>
        <w:tc>
          <w:tcPr/>
          <w:p>
            <w:pPr>
              <w:pStyle w:val="Compact"/>
              <w:jc w:val="center"/>
            </w:pPr>
            <w:hyperlink r:id="rId20">
              <w:r>
                <w:rPr>
                  <w:rStyle w:val="Hyperlink"/>
                </w:rPr>
                <w:t xml:space="preserve">Watch</w:t>
              </w:r>
            </w:hyperlink>
          </w:p>
        </w:tc>
      </w:tr>
      <w:tr>
        <w:tc>
          <w:tcPr/>
          <w:p>
            <w:pPr>
              <w:pStyle w:val="Compact"/>
              <w:jc w:val="center"/>
            </w:pPr>
            <w:r>
              <w:t xml:space="preserve">2</w:t>
            </w:r>
          </w:p>
        </w:tc>
        <w:tc>
          <w:tcPr/>
          <w:p>
            <w:pPr>
              <w:pStyle w:val="Compact"/>
              <w:jc w:val="right"/>
            </w:pPr>
            <w:r>
              <w:t xml:space="preserve">4</w:t>
            </w:r>
          </w:p>
        </w:tc>
        <w:tc>
          <w:tcPr/>
          <w:p>
            <w:pPr>
              <w:pStyle w:val="Compact"/>
            </w:pPr>
            <w:r>
              <w:t xml:space="preserve">Labels</w:t>
            </w:r>
          </w:p>
        </w:tc>
        <w:tc>
          <w:tcPr/>
          <w:p>
            <w:pPr>
              <w:pStyle w:val="Compact"/>
            </w:pPr>
            <w:r>
              <w:t xml:space="preserve">Tag workloads for policy and visibility.</w:t>
            </w:r>
          </w:p>
        </w:tc>
        <w:tc>
          <w:tcPr/>
          <w:p>
            <w:pPr>
              <w:pStyle w:val="Compact"/>
              <w:jc w:val="center"/>
            </w:pPr>
            <w:hyperlink r:id="rId21">
              <w:r>
                <w:rPr>
                  <w:rStyle w:val="Hyperlink"/>
                </w:rPr>
                <w:t xml:space="preserve">Watch</w:t>
              </w:r>
            </w:hyperlink>
          </w:p>
        </w:tc>
      </w:tr>
      <w:tr>
        <w:tc>
          <w:tcPr/>
          <w:p>
            <w:pPr>
              <w:pStyle w:val="Compact"/>
              <w:jc w:val="center"/>
            </w:pPr>
            <w:r>
              <w:t xml:space="preserve">3</w:t>
            </w:r>
          </w:p>
        </w:tc>
        <w:tc>
          <w:tcPr/>
          <w:p>
            <w:pPr>
              <w:pStyle w:val="Compact"/>
              <w:jc w:val="right"/>
            </w:pPr>
            <w:r>
              <w:t xml:space="preserve">5</w:t>
            </w:r>
          </w:p>
        </w:tc>
        <w:tc>
          <w:tcPr/>
          <w:p>
            <w:pPr>
              <w:pStyle w:val="Compact"/>
            </w:pPr>
            <w:r>
              <w:t xml:space="preserve">Inventory Filters</w:t>
            </w:r>
          </w:p>
        </w:tc>
        <w:tc>
          <w:tcPr/>
          <w:p>
            <w:pPr>
              <w:pStyle w:val="Compact"/>
            </w:pPr>
            <w:r>
              <w:t xml:space="preserve">Focus inventory on specific workload groups.</w:t>
            </w:r>
          </w:p>
        </w:tc>
        <w:tc>
          <w:tcPr/>
          <w:p>
            <w:pPr>
              <w:pStyle w:val="Compact"/>
              <w:jc w:val="center"/>
            </w:pPr>
            <w:hyperlink r:id="rId22">
              <w:r>
                <w:rPr>
                  <w:rStyle w:val="Hyperlink"/>
                </w:rPr>
                <w:t xml:space="preserve">Watch</w:t>
              </w:r>
            </w:hyperlink>
          </w:p>
        </w:tc>
      </w:tr>
    </w:tbl>
    <w:bookmarkEnd w:id="23"/>
    <w:bookmarkStart w:id="26" w:name="X27b0b3246bd0221bf109cd41cf29e8955f4a5a1"/>
    <w:p>
      <w:pPr>
        <w:pStyle w:val="Heading3"/>
      </w:pPr>
      <w:r>
        <w:t xml:space="preserve">6.2 Module 2 — Agent deployment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4</w:t>
            </w:r>
          </w:p>
        </w:tc>
        <w:tc>
          <w:tcPr/>
          <w:p>
            <w:pPr>
              <w:pStyle w:val="Compact"/>
              <w:jc w:val="right"/>
            </w:pPr>
            <w:r>
              <w:t xml:space="preserve">1</w:t>
            </w:r>
          </w:p>
        </w:tc>
        <w:tc>
          <w:tcPr/>
          <w:p>
            <w:pPr>
              <w:pStyle w:val="Compact"/>
            </w:pPr>
            <w:r>
              <w:t xml:space="preserve">Agent Configuration Profile</w:t>
            </w:r>
          </w:p>
        </w:tc>
        <w:tc>
          <w:tcPr/>
          <w:p>
            <w:pPr>
              <w:pStyle w:val="Compact"/>
            </w:pPr>
            <w:r>
              <w:t xml:space="preserve">Configure agent profiles for enforcement.</w:t>
            </w:r>
          </w:p>
        </w:tc>
        <w:tc>
          <w:tcPr/>
          <w:p>
            <w:pPr>
              <w:pStyle w:val="Compact"/>
              <w:jc w:val="center"/>
            </w:pPr>
            <w:hyperlink r:id="rId24">
              <w:r>
                <w:rPr>
                  <w:rStyle w:val="Hyperlink"/>
                </w:rPr>
                <w:t xml:space="preserve">Watch</w:t>
              </w:r>
            </w:hyperlink>
          </w:p>
        </w:tc>
      </w:tr>
      <w:tr>
        <w:tc>
          <w:tcPr/>
          <w:p>
            <w:pPr>
              <w:pStyle w:val="Compact"/>
              <w:jc w:val="center"/>
            </w:pPr>
            <w:r>
              <w:t xml:space="preserve">5</w:t>
            </w:r>
          </w:p>
        </w:tc>
        <w:tc>
          <w:tcPr/>
          <w:p>
            <w:pPr>
              <w:pStyle w:val="Compact"/>
              <w:jc w:val="right"/>
            </w:pPr>
            <w:r>
              <w:t xml:space="preserve">2</w:t>
            </w:r>
          </w:p>
        </w:tc>
        <w:tc>
          <w:tcPr/>
          <w:p>
            <w:pPr>
              <w:pStyle w:val="Compact"/>
            </w:pPr>
            <w:r>
              <w:t xml:space="preserve">Golden Image VDI</w:t>
            </w:r>
          </w:p>
        </w:tc>
        <w:tc>
          <w:tcPr/>
          <w:p>
            <w:pPr>
              <w:pStyle w:val="Compact"/>
            </w:pPr>
            <w:r>
              <w:t xml:space="preserve">VDI golden-image agent deployment.</w:t>
            </w:r>
            <w:r>
              <w:t xml:space="preserve"> </w:t>
            </w:r>
            <w:r>
              <w:rPr>
                <w:i/>
                <w:iCs/>
              </w:rPr>
              <w:t xml:space="preserve">Optional.</w:t>
            </w:r>
          </w:p>
        </w:tc>
        <w:tc>
          <w:tcPr/>
          <w:p>
            <w:pPr>
              <w:pStyle w:val="Compact"/>
              <w:jc w:val="center"/>
            </w:pPr>
            <w:hyperlink r:id="rId25">
              <w:r>
                <w:rPr>
                  <w:rStyle w:val="Hyperlink"/>
                </w:rPr>
                <w:t xml:space="preserve">Watch</w:t>
              </w:r>
            </w:hyperlink>
          </w:p>
        </w:tc>
      </w:tr>
    </w:tbl>
    <w:bookmarkEnd w:id="26"/>
    <w:bookmarkStart w:id="32" w:name="Xf8e5d935e4719b8ec583b58485ced48d95037fb"/>
    <w:p>
      <w:pPr>
        <w:pStyle w:val="Heading3"/>
      </w:pPr>
      <w:r>
        <w:t xml:space="preserve">6.3 Module 3 — Visibility and dependency discovery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6</w:t>
            </w:r>
          </w:p>
        </w:tc>
        <w:tc>
          <w:tcPr/>
          <w:p>
            <w:pPr>
              <w:pStyle w:val="Compact"/>
              <w:jc w:val="right"/>
            </w:pPr>
            <w:r>
              <w:t xml:space="preserve">6</w:t>
            </w:r>
          </w:p>
        </w:tc>
        <w:tc>
          <w:tcPr/>
          <w:p>
            <w:pPr>
              <w:pStyle w:val="Compact"/>
            </w:pPr>
            <w:r>
              <w:t xml:space="preserve">Production and Test Risk Reduction</w:t>
            </w:r>
          </w:p>
        </w:tc>
        <w:tc>
          <w:tcPr/>
          <w:p>
            <w:pPr>
              <w:pStyle w:val="Compact"/>
            </w:pPr>
            <w:r>
              <w:t xml:space="preserve">Macro-segment prod vs non-prod.</w:t>
            </w:r>
          </w:p>
        </w:tc>
        <w:tc>
          <w:tcPr/>
          <w:p>
            <w:pPr>
              <w:pStyle w:val="Compact"/>
              <w:jc w:val="center"/>
            </w:pPr>
            <w:hyperlink r:id="rId27">
              <w:r>
                <w:rPr>
                  <w:rStyle w:val="Hyperlink"/>
                </w:rPr>
                <w:t xml:space="preserve">Watch</w:t>
              </w:r>
            </w:hyperlink>
          </w:p>
        </w:tc>
      </w:tr>
      <w:tr>
        <w:tc>
          <w:tcPr/>
          <w:p>
            <w:pPr>
              <w:pStyle w:val="Compact"/>
              <w:jc w:val="center"/>
            </w:pPr>
            <w:r>
              <w:t xml:space="preserve">7</w:t>
            </w:r>
          </w:p>
        </w:tc>
        <w:tc>
          <w:tcPr/>
          <w:p>
            <w:pPr>
              <w:pStyle w:val="Compact"/>
              <w:jc w:val="right"/>
            </w:pPr>
            <w:r>
              <w:t xml:space="preserve">10</w:t>
            </w:r>
          </w:p>
        </w:tc>
        <w:tc>
          <w:tcPr/>
          <w:p>
            <w:pPr>
              <w:pStyle w:val="Compact"/>
            </w:pPr>
            <w:r>
              <w:t xml:space="preserve">Flow Analysis</w:t>
            </w:r>
          </w:p>
        </w:tc>
        <w:tc>
          <w:tcPr/>
          <w:p>
            <w:pPr>
              <w:pStyle w:val="Compact"/>
            </w:pPr>
            <w:r>
              <w:t xml:space="preserve">Traffic patterns and anomalies.</w:t>
            </w:r>
          </w:p>
        </w:tc>
        <w:tc>
          <w:tcPr/>
          <w:p>
            <w:pPr>
              <w:pStyle w:val="Compact"/>
              <w:jc w:val="center"/>
            </w:pPr>
            <w:hyperlink r:id="rId28">
              <w:r>
                <w:rPr>
                  <w:rStyle w:val="Hyperlink"/>
                </w:rPr>
                <w:t xml:space="preserve">Watch</w:t>
              </w:r>
            </w:hyperlink>
          </w:p>
        </w:tc>
      </w:tr>
      <w:tr>
        <w:tc>
          <w:tcPr/>
          <w:p>
            <w:pPr>
              <w:pStyle w:val="Compact"/>
              <w:jc w:val="center"/>
            </w:pPr>
            <w:r>
              <w:t xml:space="preserve">8</w:t>
            </w:r>
          </w:p>
        </w:tc>
        <w:tc>
          <w:tcPr/>
          <w:p>
            <w:pPr>
              <w:pStyle w:val="Compact"/>
              <w:jc w:val="right"/>
            </w:pPr>
            <w:r>
              <w:t xml:space="preserve">7</w:t>
            </w:r>
          </w:p>
        </w:tc>
        <w:tc>
          <w:tcPr/>
          <w:p>
            <w:pPr>
              <w:pStyle w:val="Compact"/>
            </w:pPr>
            <w:r>
              <w:t xml:space="preserve">Application Dependency Mapping &amp; Policy Analysis</w:t>
            </w:r>
          </w:p>
        </w:tc>
        <w:tc>
          <w:tcPr/>
          <w:p>
            <w:pPr>
              <w:pStyle w:val="Compact"/>
            </w:pPr>
            <w:r>
              <w:t xml:space="preserve">ADM and policy derivation.</w:t>
            </w:r>
          </w:p>
        </w:tc>
        <w:tc>
          <w:tcPr/>
          <w:p>
            <w:pPr>
              <w:pStyle w:val="Compact"/>
              <w:jc w:val="center"/>
            </w:pPr>
            <w:hyperlink r:id="rId29">
              <w:r>
                <w:rPr>
                  <w:rStyle w:val="Hyperlink"/>
                </w:rPr>
                <w:t xml:space="preserve">Watch</w:t>
              </w:r>
            </w:hyperlink>
          </w:p>
        </w:tc>
      </w:tr>
      <w:tr>
        <w:tc>
          <w:tcPr/>
          <w:p>
            <w:pPr>
              <w:pStyle w:val="Compact"/>
              <w:jc w:val="center"/>
            </w:pPr>
            <w:r>
              <w:t xml:space="preserve">9</w:t>
            </w:r>
          </w:p>
        </w:tc>
        <w:tc>
          <w:tcPr/>
          <w:p>
            <w:pPr>
              <w:pStyle w:val="Compact"/>
              <w:jc w:val="right"/>
            </w:pPr>
            <w:r>
              <w:t xml:space="preserve">9</w:t>
            </w:r>
          </w:p>
        </w:tc>
        <w:tc>
          <w:tcPr/>
          <w:p>
            <w:pPr>
              <w:pStyle w:val="Compact"/>
            </w:pPr>
            <w:r>
              <w:t xml:space="preserve">Dynamic Workloads &amp; Policy</w:t>
            </w:r>
          </w:p>
        </w:tc>
        <w:tc>
          <w:tcPr/>
          <w:p>
            <w:pPr>
              <w:pStyle w:val="Compact"/>
            </w:pPr>
            <w:r>
              <w:t xml:space="preserve">Policy for moving/scaling workloads.</w:t>
            </w:r>
          </w:p>
        </w:tc>
        <w:tc>
          <w:tcPr/>
          <w:p>
            <w:pPr>
              <w:pStyle w:val="Compact"/>
              <w:jc w:val="center"/>
            </w:pPr>
            <w:hyperlink r:id="rId30">
              <w:r>
                <w:rPr>
                  <w:rStyle w:val="Hyperlink"/>
                </w:rPr>
                <w:t xml:space="preserve">Watch</w:t>
              </w:r>
            </w:hyperlink>
          </w:p>
        </w:tc>
      </w:tr>
      <w:tr>
        <w:tc>
          <w:tcPr/>
          <w:p>
            <w:pPr>
              <w:pStyle w:val="Compact"/>
              <w:jc w:val="center"/>
            </w:pPr>
            <w:r>
              <w:t xml:space="preserve">10</w:t>
            </w:r>
          </w:p>
        </w:tc>
        <w:tc>
          <w:tcPr/>
          <w:p>
            <w:pPr>
              <w:pStyle w:val="Compact"/>
              <w:jc w:val="right"/>
            </w:pPr>
            <w:r>
              <w:t xml:space="preserve">8</w:t>
            </w:r>
          </w:p>
        </w:tc>
        <w:tc>
          <w:tcPr/>
          <w:p>
            <w:pPr>
              <w:pStyle w:val="Compact"/>
            </w:pPr>
            <w:r>
              <w:t xml:space="preserve">Policy Visual and Quick Analysis</w:t>
            </w:r>
          </w:p>
        </w:tc>
        <w:tc>
          <w:tcPr/>
          <w:p>
            <w:pPr>
              <w:pStyle w:val="Compact"/>
            </w:pPr>
            <w:r>
              <w:t xml:space="preserve">Visualize policy impact.</w:t>
            </w:r>
          </w:p>
        </w:tc>
        <w:tc>
          <w:tcPr/>
          <w:p>
            <w:pPr>
              <w:pStyle w:val="Compact"/>
              <w:jc w:val="center"/>
            </w:pPr>
            <w:hyperlink r:id="rId31">
              <w:r>
                <w:rPr>
                  <w:rStyle w:val="Hyperlink"/>
                </w:rPr>
                <w:t xml:space="preserve">Watch</w:t>
              </w:r>
            </w:hyperlink>
          </w:p>
        </w:tc>
      </w:tr>
    </w:tbl>
    <w:bookmarkEnd w:id="32"/>
    <w:bookmarkStart w:id="35" w:name="Xe08cf81caea7d0f53bf073b145c66d190f05ea7"/>
    <w:p>
      <w:pPr>
        <w:pStyle w:val="Heading3"/>
      </w:pPr>
      <w:r>
        <w:t xml:space="preserve">6.4 Module 4 — AI-assisted policy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11</w:t>
            </w:r>
          </w:p>
        </w:tc>
        <w:tc>
          <w:tcPr/>
          <w:p>
            <w:pPr>
              <w:pStyle w:val="Compact"/>
              <w:jc w:val="right"/>
            </w:pPr>
            <w:r>
              <w:t xml:space="preserve">33</w:t>
            </w:r>
          </w:p>
        </w:tc>
        <w:tc>
          <w:tcPr/>
          <w:p>
            <w:pPr>
              <w:pStyle w:val="Compact"/>
            </w:pPr>
            <w:r>
              <w:t xml:space="preserve">AI-Driven Policy Suggestions</w:t>
            </w:r>
          </w:p>
        </w:tc>
        <w:tc>
          <w:tcPr/>
          <w:p>
            <w:pPr>
              <w:pStyle w:val="Compact"/>
            </w:pPr>
            <w:r>
              <w:t xml:space="preserve">AI policy recommendations.</w:t>
            </w:r>
          </w:p>
        </w:tc>
        <w:tc>
          <w:tcPr/>
          <w:p>
            <w:pPr>
              <w:pStyle w:val="Compact"/>
              <w:jc w:val="center"/>
            </w:pPr>
            <w:hyperlink r:id="rId33">
              <w:r>
                <w:rPr>
                  <w:rStyle w:val="Hyperlink"/>
                </w:rPr>
                <w:t xml:space="preserve">Watch</w:t>
              </w:r>
            </w:hyperlink>
          </w:p>
        </w:tc>
      </w:tr>
      <w:tr>
        <w:tc>
          <w:tcPr/>
          <w:p>
            <w:pPr>
              <w:pStyle w:val="Compact"/>
              <w:jc w:val="center"/>
            </w:pPr>
            <w:r>
              <w:t xml:space="preserve">12</w:t>
            </w:r>
          </w:p>
        </w:tc>
        <w:tc>
          <w:tcPr/>
          <w:p>
            <w:pPr>
              <w:pStyle w:val="Compact"/>
              <w:jc w:val="right"/>
            </w:pPr>
            <w:r>
              <w:t xml:space="preserve">34</w:t>
            </w:r>
          </w:p>
        </w:tc>
        <w:tc>
          <w:tcPr/>
          <w:p>
            <w:pPr>
              <w:pStyle w:val="Compact"/>
            </w:pPr>
            <w:r>
              <w:t xml:space="preserve">Policy Statistics with AI Engine</w:t>
            </w:r>
          </w:p>
        </w:tc>
        <w:tc>
          <w:tcPr/>
          <w:p>
            <w:pPr>
              <w:pStyle w:val="Compact"/>
            </w:pPr>
            <w:r>
              <w:t xml:space="preserve">Statistics and tuning at scale.</w:t>
            </w:r>
          </w:p>
        </w:tc>
        <w:tc>
          <w:tcPr/>
          <w:p>
            <w:pPr>
              <w:pStyle w:val="Compact"/>
              <w:jc w:val="center"/>
            </w:pPr>
            <w:hyperlink r:id="rId34">
              <w:r>
                <w:rPr>
                  <w:rStyle w:val="Hyperlink"/>
                </w:rPr>
                <w:t xml:space="preserve">Watch</w:t>
              </w:r>
            </w:hyperlink>
          </w:p>
        </w:tc>
      </w:tr>
    </w:tbl>
    <w:bookmarkEnd w:id="35"/>
    <w:bookmarkStart w:id="41" w:name="X8a788de5795d40d873f8a098801eb93b3a8b2cf"/>
    <w:p>
      <w:pPr>
        <w:pStyle w:val="Heading3"/>
      </w:pPr>
      <w:r>
        <w:t xml:space="preserve">6.5 Module 5 — Security, risk, and forensics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13</w:t>
            </w:r>
          </w:p>
        </w:tc>
        <w:tc>
          <w:tcPr/>
          <w:p>
            <w:pPr>
              <w:pStyle w:val="Compact"/>
              <w:jc w:val="right"/>
            </w:pPr>
            <w:r>
              <w:t xml:space="preserve">12</w:t>
            </w:r>
          </w:p>
        </w:tc>
        <w:tc>
          <w:tcPr/>
          <w:p>
            <w:pPr>
              <w:pStyle w:val="Compact"/>
            </w:pPr>
            <w:r>
              <w:t xml:space="preserve">Security Dashboard</w:t>
            </w:r>
          </w:p>
        </w:tc>
        <w:tc>
          <w:tcPr/>
          <w:p>
            <w:pPr>
              <w:pStyle w:val="Compact"/>
            </w:pPr>
            <w:r>
              <w:t xml:space="preserve">Posture and risk drill-downs.</w:t>
            </w:r>
          </w:p>
        </w:tc>
        <w:tc>
          <w:tcPr/>
          <w:p>
            <w:pPr>
              <w:pStyle w:val="Compact"/>
              <w:jc w:val="center"/>
            </w:pPr>
            <w:hyperlink r:id="rId36">
              <w:r>
                <w:rPr>
                  <w:rStyle w:val="Hyperlink"/>
                </w:rPr>
                <w:t xml:space="preserve">Watch</w:t>
              </w:r>
            </w:hyperlink>
          </w:p>
        </w:tc>
      </w:tr>
      <w:tr>
        <w:tc>
          <w:tcPr/>
          <w:p>
            <w:pPr>
              <w:pStyle w:val="Compact"/>
              <w:jc w:val="center"/>
            </w:pPr>
            <w:r>
              <w:t xml:space="preserve">14</w:t>
            </w:r>
          </w:p>
        </w:tc>
        <w:tc>
          <w:tcPr/>
          <w:p>
            <w:pPr>
              <w:pStyle w:val="Compact"/>
              <w:jc w:val="right"/>
            </w:pPr>
            <w:r>
              <w:t xml:space="preserve">11</w:t>
            </w:r>
          </w:p>
        </w:tc>
        <w:tc>
          <w:tcPr/>
          <w:p>
            <w:pPr>
              <w:pStyle w:val="Compact"/>
            </w:pPr>
            <w:r>
              <w:t xml:space="preserve">Vulnerabilities and Risk Reduction</w:t>
            </w:r>
          </w:p>
        </w:tc>
        <w:tc>
          <w:tcPr/>
          <w:p>
            <w:pPr>
              <w:pStyle w:val="Compact"/>
            </w:pPr>
            <w:r>
              <w:t xml:space="preserve">Vulnerable workload prioritization.</w:t>
            </w:r>
          </w:p>
        </w:tc>
        <w:tc>
          <w:tcPr/>
          <w:p>
            <w:pPr>
              <w:pStyle w:val="Compact"/>
              <w:jc w:val="center"/>
            </w:pPr>
            <w:hyperlink r:id="rId37">
              <w:r>
                <w:rPr>
                  <w:rStyle w:val="Hyperlink"/>
                </w:rPr>
                <w:t xml:space="preserve">Watch</w:t>
              </w:r>
            </w:hyperlink>
          </w:p>
        </w:tc>
      </w:tr>
      <w:tr>
        <w:tc>
          <w:tcPr/>
          <w:p>
            <w:pPr>
              <w:pStyle w:val="Compact"/>
              <w:jc w:val="center"/>
            </w:pPr>
            <w:r>
              <w:t xml:space="preserve">15</w:t>
            </w:r>
          </w:p>
        </w:tc>
        <w:tc>
          <w:tcPr/>
          <w:p>
            <w:pPr>
              <w:pStyle w:val="Compact"/>
              <w:jc w:val="right"/>
            </w:pPr>
            <w:r>
              <w:t xml:space="preserve">15</w:t>
            </w:r>
          </w:p>
        </w:tc>
        <w:tc>
          <w:tcPr/>
          <w:p>
            <w:pPr>
              <w:pStyle w:val="Compact"/>
            </w:pPr>
            <w:r>
              <w:t xml:space="preserve">SSH Risk Reduction</w:t>
            </w:r>
          </w:p>
        </w:tc>
        <w:tc>
          <w:tcPr/>
          <w:p>
            <w:pPr>
              <w:pStyle w:val="Compact"/>
            </w:pPr>
            <w:r>
              <w:t xml:space="preserve">Control SSH between workloads.</w:t>
            </w:r>
          </w:p>
        </w:tc>
        <w:tc>
          <w:tcPr/>
          <w:p>
            <w:pPr>
              <w:pStyle w:val="Compact"/>
              <w:jc w:val="center"/>
            </w:pPr>
            <w:hyperlink r:id="rId38">
              <w:r>
                <w:rPr>
                  <w:rStyle w:val="Hyperlink"/>
                </w:rPr>
                <w:t xml:space="preserve">Watch</w:t>
              </w:r>
            </w:hyperlink>
          </w:p>
        </w:tc>
      </w:tr>
      <w:tr>
        <w:tc>
          <w:tcPr/>
          <w:p>
            <w:pPr>
              <w:pStyle w:val="Compact"/>
              <w:jc w:val="center"/>
            </w:pPr>
            <w:r>
              <w:t xml:space="preserve">16</w:t>
            </w:r>
          </w:p>
        </w:tc>
        <w:tc>
          <w:tcPr/>
          <w:p>
            <w:pPr>
              <w:pStyle w:val="Compact"/>
              <w:jc w:val="right"/>
            </w:pPr>
            <w:r>
              <w:t xml:space="preserve">14</w:t>
            </w:r>
          </w:p>
        </w:tc>
        <w:tc>
          <w:tcPr/>
          <w:p>
            <w:pPr>
              <w:pStyle w:val="Compact"/>
            </w:pPr>
            <w:r>
              <w:t xml:space="preserve">Log4J Risk Reduction</w:t>
            </w:r>
          </w:p>
        </w:tc>
        <w:tc>
          <w:tcPr/>
          <w:p>
            <w:pPr>
              <w:pStyle w:val="Compact"/>
            </w:pPr>
            <w:r>
              <w:t xml:space="preserve">Log4Shell exposure containment.</w:t>
            </w:r>
          </w:p>
        </w:tc>
        <w:tc>
          <w:tcPr/>
          <w:p>
            <w:pPr>
              <w:pStyle w:val="Compact"/>
              <w:jc w:val="center"/>
            </w:pPr>
            <w:hyperlink r:id="rId39">
              <w:r>
                <w:rPr>
                  <w:rStyle w:val="Hyperlink"/>
                </w:rPr>
                <w:t xml:space="preserve">Watch</w:t>
              </w:r>
            </w:hyperlink>
          </w:p>
        </w:tc>
      </w:tr>
      <w:tr>
        <w:tc>
          <w:tcPr/>
          <w:p>
            <w:pPr>
              <w:pStyle w:val="Compact"/>
              <w:jc w:val="center"/>
            </w:pPr>
            <w:r>
              <w:t xml:space="preserve">17</w:t>
            </w:r>
          </w:p>
        </w:tc>
        <w:tc>
          <w:tcPr/>
          <w:p>
            <w:pPr>
              <w:pStyle w:val="Compact"/>
              <w:jc w:val="right"/>
            </w:pPr>
            <w:r>
              <w:t xml:space="preserve">13</w:t>
            </w:r>
          </w:p>
        </w:tc>
        <w:tc>
          <w:tcPr/>
          <w:p>
            <w:pPr>
              <w:pStyle w:val="Compact"/>
            </w:pPr>
            <w:r>
              <w:t xml:space="preserve">Forensics</w:t>
            </w:r>
          </w:p>
        </w:tc>
        <w:tc>
          <w:tcPr/>
          <w:p>
            <w:pPr>
              <w:pStyle w:val="Compact"/>
            </w:pPr>
            <w:r>
              <w:t xml:space="preserve">Investigation evidence.</w:t>
            </w:r>
          </w:p>
        </w:tc>
        <w:tc>
          <w:tcPr/>
          <w:p>
            <w:pPr>
              <w:pStyle w:val="Compact"/>
              <w:jc w:val="center"/>
            </w:pPr>
            <w:hyperlink r:id="rId40">
              <w:r>
                <w:rPr>
                  <w:rStyle w:val="Hyperlink"/>
                </w:rPr>
                <w:t xml:space="preserve">Watch</w:t>
              </w:r>
            </w:hyperlink>
          </w:p>
        </w:tc>
      </w:tr>
    </w:tbl>
    <w:bookmarkEnd w:id="41"/>
    <w:bookmarkStart w:id="44" w:name="X8938ec5b7415f921bc4d87f7ee35b1149073c6a"/>
    <w:p>
      <w:pPr>
        <w:pStyle w:val="Heading3"/>
      </w:pPr>
      <w:r>
        <w:t xml:space="preserve">6.6 Module 6 — Segmentation use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18</w:t>
            </w:r>
          </w:p>
        </w:tc>
        <w:tc>
          <w:tcPr/>
          <w:p>
            <w:pPr>
              <w:pStyle w:val="Compact"/>
              <w:jc w:val="right"/>
            </w:pPr>
            <w:r>
              <w:t xml:space="preserve">16</w:t>
            </w:r>
          </w:p>
        </w:tc>
        <w:tc>
          <w:tcPr/>
          <w:p>
            <w:pPr>
              <w:pStyle w:val="Compact"/>
            </w:pPr>
            <w:r>
              <w:t xml:space="preserve">Terminal Services Segmentation</w:t>
            </w:r>
          </w:p>
        </w:tc>
        <w:tc>
          <w:tcPr/>
          <w:p>
            <w:pPr>
              <w:pStyle w:val="Compact"/>
            </w:pPr>
            <w:r>
              <w:t xml:space="preserve">RDS / Terminal Services.</w:t>
            </w:r>
          </w:p>
        </w:tc>
        <w:tc>
          <w:tcPr/>
          <w:p>
            <w:pPr>
              <w:pStyle w:val="Compact"/>
              <w:jc w:val="center"/>
            </w:pPr>
            <w:hyperlink r:id="rId42">
              <w:r>
                <w:rPr>
                  <w:rStyle w:val="Hyperlink"/>
                </w:rPr>
                <w:t xml:space="preserve">Watch</w:t>
              </w:r>
            </w:hyperlink>
          </w:p>
        </w:tc>
      </w:tr>
      <w:tr>
        <w:tc>
          <w:tcPr/>
          <w:p>
            <w:pPr>
              <w:pStyle w:val="Compact"/>
              <w:jc w:val="center"/>
            </w:pPr>
            <w:r>
              <w:t xml:space="preserve">19</w:t>
            </w:r>
          </w:p>
        </w:tc>
        <w:tc>
          <w:tcPr/>
          <w:p>
            <w:pPr>
              <w:pStyle w:val="Compact"/>
              <w:jc w:val="right"/>
            </w:pPr>
            <w:r>
              <w:t xml:space="preserve">17</w:t>
            </w:r>
          </w:p>
        </w:tc>
        <w:tc>
          <w:tcPr/>
          <w:p>
            <w:pPr>
              <w:pStyle w:val="Compact"/>
            </w:pPr>
            <w:r>
              <w:t xml:space="preserve">VDI Segmentation</w:t>
            </w:r>
          </w:p>
        </w:tc>
        <w:tc>
          <w:tcPr/>
          <w:p>
            <w:pPr>
              <w:pStyle w:val="Compact"/>
            </w:pPr>
            <w:r>
              <w:t xml:space="preserve">Golden-image VDI estates.</w:t>
            </w:r>
          </w:p>
        </w:tc>
        <w:tc>
          <w:tcPr/>
          <w:p>
            <w:pPr>
              <w:pStyle w:val="Compact"/>
              <w:jc w:val="center"/>
            </w:pPr>
            <w:hyperlink r:id="rId43">
              <w:r>
                <w:rPr>
                  <w:rStyle w:val="Hyperlink"/>
                </w:rPr>
                <w:t xml:space="preserve">Watch</w:t>
              </w:r>
            </w:hyperlink>
          </w:p>
        </w:tc>
      </w:tr>
    </w:tbl>
    <w:bookmarkEnd w:id="44"/>
    <w:bookmarkStart w:id="61" w:name="Xe21ac8eabdd6109406629bd8972d04c76475f88"/>
    <w:p>
      <w:pPr>
        <w:pStyle w:val="Heading3"/>
      </w:pPr>
      <w:r>
        <w:t xml:space="preserve">6.7 Module 7 — Integrations (POV-specific)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Resource</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20</w:t>
            </w:r>
          </w:p>
        </w:tc>
        <w:tc>
          <w:tcPr/>
          <w:p>
            <w:pPr>
              <w:pStyle w:val="Compact"/>
              <w:jc w:val="right"/>
            </w:pPr>
            <w:r>
              <w:t xml:space="preserve">18</w:t>
            </w:r>
          </w:p>
        </w:tc>
        <w:tc>
          <w:tcPr/>
          <w:p>
            <w:pPr>
              <w:pStyle w:val="Compact"/>
            </w:pPr>
            <w:r>
              <w:t xml:space="preserve">Secure Workload &amp; Firewall Integration (Part 1)</w:t>
            </w:r>
          </w:p>
        </w:tc>
        <w:tc>
          <w:tcPr/>
          <w:p>
            <w:pPr>
              <w:pStyle w:val="Compact"/>
            </w:pPr>
            <w:r>
              <w:t xml:space="preserve">Introduction, design, architecture.</w:t>
            </w:r>
          </w:p>
        </w:tc>
        <w:tc>
          <w:tcPr/>
          <w:p>
            <w:pPr>
              <w:pStyle w:val="Compact"/>
              <w:jc w:val="center"/>
            </w:pPr>
            <w:hyperlink r:id="rId45">
              <w:r>
                <w:rPr>
                  <w:rStyle w:val="Hyperlink"/>
                </w:rPr>
                <w:t xml:space="preserve">Watch</w:t>
              </w:r>
            </w:hyperlink>
          </w:p>
        </w:tc>
      </w:tr>
      <w:tr>
        <w:tc>
          <w:tcPr/>
          <w:p>
            <w:pPr>
              <w:pStyle w:val="Compact"/>
              <w:jc w:val="center"/>
            </w:pPr>
            <w:r>
              <w:t xml:space="preserve">21</w:t>
            </w:r>
          </w:p>
        </w:tc>
        <w:tc>
          <w:tcPr/>
          <w:p>
            <w:pPr>
              <w:pStyle w:val="Compact"/>
              <w:jc w:val="right"/>
            </w:pPr>
            <w:r>
              <w:t xml:space="preserve">19</w:t>
            </w:r>
          </w:p>
        </w:tc>
        <w:tc>
          <w:tcPr/>
          <w:p>
            <w:pPr>
              <w:pStyle w:val="Compact"/>
            </w:pPr>
            <w:r>
              <w:t xml:space="preserve">Secure Workload &amp; Firewall Integration (Part 2)</w:t>
            </w:r>
          </w:p>
        </w:tc>
        <w:tc>
          <w:tcPr/>
          <w:p>
            <w:pPr>
              <w:pStyle w:val="Compact"/>
            </w:pPr>
            <w:r>
              <w:t xml:space="preserve">Deployment patterns and policy flow.</w:t>
            </w:r>
          </w:p>
        </w:tc>
        <w:tc>
          <w:tcPr/>
          <w:p>
            <w:pPr>
              <w:pStyle w:val="Compact"/>
              <w:jc w:val="center"/>
            </w:pPr>
            <w:hyperlink r:id="rId46">
              <w:r>
                <w:rPr>
                  <w:rStyle w:val="Hyperlink"/>
                </w:rPr>
                <w:t xml:space="preserve">Watch</w:t>
              </w:r>
            </w:hyperlink>
          </w:p>
        </w:tc>
      </w:tr>
      <w:tr>
        <w:tc>
          <w:tcPr/>
          <w:p>
            <w:pPr>
              <w:pStyle w:val="Compact"/>
              <w:jc w:val="center"/>
            </w:pPr>
            <w:r>
              <w:t xml:space="preserve">22</w:t>
            </w:r>
          </w:p>
        </w:tc>
        <w:tc>
          <w:tcPr/>
          <w:p>
            <w:pPr>
              <w:pStyle w:val="Compact"/>
              <w:jc w:val="right"/>
            </w:pPr>
            <w:r>
              <w:t xml:space="preserve">20</w:t>
            </w:r>
          </w:p>
        </w:tc>
        <w:tc>
          <w:tcPr/>
          <w:p>
            <w:pPr>
              <w:pStyle w:val="Compact"/>
            </w:pPr>
            <w:r>
              <w:t xml:space="preserve">Secure Workload &amp; Firewall Integration (Part 3)</w:t>
            </w:r>
          </w:p>
        </w:tc>
        <w:tc>
          <w:tcPr/>
          <w:p>
            <w:pPr>
              <w:pStyle w:val="Compact"/>
            </w:pPr>
            <w:r>
              <w:t xml:space="preserve">Enforcement, telemetry, operations.</w:t>
            </w:r>
          </w:p>
        </w:tc>
        <w:tc>
          <w:tcPr/>
          <w:p>
            <w:pPr>
              <w:pStyle w:val="Compact"/>
              <w:jc w:val="center"/>
            </w:pPr>
            <w:hyperlink r:id="rId47">
              <w:r>
                <w:rPr>
                  <w:rStyle w:val="Hyperlink"/>
                </w:rPr>
                <w:t xml:space="preserve">Watch</w:t>
              </w:r>
            </w:hyperlink>
          </w:p>
        </w:tc>
      </w:tr>
      <w:tr>
        <w:tc>
          <w:tcPr/>
          <w:p>
            <w:pPr>
              <w:pStyle w:val="Compact"/>
              <w:jc w:val="center"/>
            </w:pPr>
            <w:r>
              <w:t xml:space="preserve">23</w:t>
            </w:r>
          </w:p>
        </w:tc>
        <w:tc>
          <w:tcPr/>
          <w:p>
            <w:pPr>
              <w:pStyle w:val="Compact"/>
              <w:jc w:val="right"/>
            </w:pPr>
            <w:r>
              <w:t xml:space="preserve">21</w:t>
            </w:r>
          </w:p>
        </w:tc>
        <w:tc>
          <w:tcPr/>
          <w:p>
            <w:pPr>
              <w:pStyle w:val="Compact"/>
            </w:pPr>
            <w:r>
              <w:t xml:space="preserve">Secure Firewall White Paper</w:t>
            </w:r>
          </w:p>
        </w:tc>
        <w:tc>
          <w:tcPr/>
          <w:p>
            <w:pPr>
              <w:pStyle w:val="Compact"/>
            </w:pPr>
            <w:r>
              <w:t xml:space="preserve">Joint architecture (Cisco.com).</w:t>
            </w:r>
          </w:p>
        </w:tc>
        <w:tc>
          <w:tcPr/>
          <w:p>
            <w:pPr>
              <w:pStyle w:val="Compact"/>
              <w:jc w:val="center"/>
            </w:pPr>
            <w:hyperlink r:id="rId48">
              <w:r>
                <w:rPr>
                  <w:rStyle w:val="Hyperlink"/>
                </w:rPr>
                <w:t xml:space="preserve">Read</w:t>
              </w:r>
            </w:hyperlink>
          </w:p>
        </w:tc>
      </w:tr>
      <w:tr>
        <w:tc>
          <w:tcPr/>
          <w:p>
            <w:pPr>
              <w:pStyle w:val="Compact"/>
              <w:jc w:val="center"/>
            </w:pPr>
            <w:r>
              <w:t xml:space="preserve">24</w:t>
            </w:r>
          </w:p>
        </w:tc>
        <w:tc>
          <w:tcPr/>
          <w:p>
            <w:pPr>
              <w:pStyle w:val="Compact"/>
              <w:jc w:val="right"/>
            </w:pPr>
            <w:r>
              <w:t xml:space="preserve">22</w:t>
            </w:r>
          </w:p>
        </w:tc>
        <w:tc>
          <w:tcPr/>
          <w:p>
            <w:pPr>
              <w:pStyle w:val="Compact"/>
            </w:pPr>
            <w:r>
              <w:t xml:space="preserve">Firewall Integration Deep Dive</w:t>
            </w:r>
          </w:p>
        </w:tc>
        <w:tc>
          <w:tcPr/>
          <w:p>
            <w:pPr>
              <w:pStyle w:val="Compact"/>
            </w:pPr>
            <w:r>
              <w:t xml:space="preserve">Design principles and use cases.</w:t>
            </w:r>
          </w:p>
        </w:tc>
        <w:tc>
          <w:tcPr/>
          <w:p>
            <w:pPr>
              <w:pStyle w:val="Compact"/>
              <w:jc w:val="center"/>
            </w:pPr>
            <w:hyperlink r:id="rId49">
              <w:r>
                <w:rPr>
                  <w:rStyle w:val="Hyperlink"/>
                </w:rPr>
                <w:t xml:space="preserve">Read</w:t>
              </w:r>
            </w:hyperlink>
          </w:p>
        </w:tc>
      </w:tr>
      <w:tr>
        <w:tc>
          <w:tcPr/>
          <w:p>
            <w:pPr>
              <w:pStyle w:val="Compact"/>
              <w:jc w:val="center"/>
            </w:pPr>
            <w:r>
              <w:t xml:space="preserve">25</w:t>
            </w:r>
          </w:p>
        </w:tc>
        <w:tc>
          <w:tcPr/>
          <w:p>
            <w:pPr>
              <w:pStyle w:val="Compact"/>
              <w:jc w:val="right"/>
            </w:pPr>
            <w:r>
              <w:t xml:space="preserve">23</w:t>
            </w:r>
          </w:p>
        </w:tc>
        <w:tc>
          <w:tcPr/>
          <w:p>
            <w:pPr>
              <w:pStyle w:val="Compact"/>
            </w:pPr>
            <w:r>
              <w:t xml:space="preserve">F5 BIG-IP: APM Visibility</w:t>
            </w:r>
          </w:p>
        </w:tc>
        <w:tc>
          <w:tcPr/>
          <w:p>
            <w:pPr>
              <w:pStyle w:val="Compact"/>
            </w:pPr>
            <w:r>
              <w:t xml:space="preserve">F5 APM application visibility.</w:t>
            </w:r>
          </w:p>
        </w:tc>
        <w:tc>
          <w:tcPr/>
          <w:p>
            <w:pPr>
              <w:pStyle w:val="Compact"/>
              <w:jc w:val="center"/>
            </w:pPr>
            <w:hyperlink r:id="rId50">
              <w:r>
                <w:rPr>
                  <w:rStyle w:val="Hyperlink"/>
                </w:rPr>
                <w:t xml:space="preserve">Watch</w:t>
              </w:r>
            </w:hyperlink>
          </w:p>
        </w:tc>
      </w:tr>
      <w:tr>
        <w:tc>
          <w:tcPr/>
          <w:p>
            <w:pPr>
              <w:pStyle w:val="Compact"/>
              <w:jc w:val="center"/>
            </w:pPr>
            <w:r>
              <w:t xml:space="preserve">26</w:t>
            </w:r>
          </w:p>
        </w:tc>
        <w:tc>
          <w:tcPr/>
          <w:p>
            <w:pPr>
              <w:pStyle w:val="Compact"/>
              <w:jc w:val="right"/>
            </w:pPr>
            <w:r>
              <w:t xml:space="preserve">24</w:t>
            </w:r>
          </w:p>
        </w:tc>
        <w:tc>
          <w:tcPr/>
          <w:p>
            <w:pPr>
              <w:pStyle w:val="Compact"/>
            </w:pPr>
            <w:r>
              <w:t xml:space="preserve">F5 BIG-IP AFM</w:t>
            </w:r>
          </w:p>
        </w:tc>
        <w:tc>
          <w:tcPr/>
          <w:p>
            <w:pPr>
              <w:pStyle w:val="Compact"/>
            </w:pPr>
            <w:r>
              <w:t xml:space="preserve">AFM flow context.</w:t>
            </w:r>
          </w:p>
        </w:tc>
        <w:tc>
          <w:tcPr/>
          <w:p>
            <w:pPr>
              <w:pStyle w:val="Compact"/>
              <w:jc w:val="center"/>
            </w:pPr>
            <w:hyperlink r:id="rId51">
              <w:r>
                <w:rPr>
                  <w:rStyle w:val="Hyperlink"/>
                </w:rPr>
                <w:t xml:space="preserve">Watch</w:t>
              </w:r>
            </w:hyperlink>
          </w:p>
        </w:tc>
      </w:tr>
      <w:tr>
        <w:tc>
          <w:tcPr/>
          <w:p>
            <w:pPr>
              <w:pStyle w:val="Compact"/>
              <w:jc w:val="center"/>
            </w:pPr>
            <w:r>
              <w:t xml:space="preserve">27</w:t>
            </w:r>
          </w:p>
        </w:tc>
        <w:tc>
          <w:tcPr/>
          <w:p>
            <w:pPr>
              <w:pStyle w:val="Compact"/>
              <w:jc w:val="right"/>
            </w:pPr>
            <w:r>
              <w:t xml:space="preserve">25</w:t>
            </w:r>
          </w:p>
        </w:tc>
        <w:tc>
          <w:tcPr/>
          <w:p>
            <w:pPr>
              <w:pStyle w:val="Compact"/>
            </w:pPr>
            <w:r>
              <w:t xml:space="preserve">F5 BIG-IP IPFIX Configuration</w:t>
            </w:r>
          </w:p>
        </w:tc>
        <w:tc>
          <w:tcPr/>
          <w:p>
            <w:pPr>
              <w:pStyle w:val="Compact"/>
            </w:pPr>
            <w:r>
              <w:t xml:space="preserve">IPFIX into Secure Workload.</w:t>
            </w:r>
          </w:p>
        </w:tc>
        <w:tc>
          <w:tcPr/>
          <w:p>
            <w:pPr>
              <w:pStyle w:val="Compact"/>
              <w:jc w:val="center"/>
            </w:pPr>
            <w:hyperlink r:id="rId52">
              <w:r>
                <w:rPr>
                  <w:rStyle w:val="Hyperlink"/>
                </w:rPr>
                <w:t xml:space="preserve">Watch</w:t>
              </w:r>
            </w:hyperlink>
          </w:p>
        </w:tc>
      </w:tr>
      <w:tr>
        <w:tc>
          <w:tcPr/>
          <w:p>
            <w:pPr>
              <w:pStyle w:val="Compact"/>
              <w:jc w:val="center"/>
            </w:pPr>
            <w:r>
              <w:t xml:space="preserve">28</w:t>
            </w:r>
          </w:p>
        </w:tc>
        <w:tc>
          <w:tcPr/>
          <w:p>
            <w:pPr>
              <w:pStyle w:val="Compact"/>
              <w:jc w:val="right"/>
            </w:pPr>
            <w:r>
              <w:t xml:space="preserve">26</w:t>
            </w:r>
          </w:p>
        </w:tc>
        <w:tc>
          <w:tcPr/>
          <w:p>
            <w:pPr>
              <w:pStyle w:val="Compact"/>
            </w:pPr>
            <w:r>
              <w:t xml:space="preserve">DNS Server Integration</w:t>
            </w:r>
          </w:p>
        </w:tc>
        <w:tc>
          <w:tcPr/>
          <w:p>
            <w:pPr>
              <w:pStyle w:val="Compact"/>
            </w:pPr>
            <w:r>
              <w:t xml:space="preserve">DNS context for flows and policy.</w:t>
            </w:r>
          </w:p>
        </w:tc>
        <w:tc>
          <w:tcPr/>
          <w:p>
            <w:pPr>
              <w:pStyle w:val="Compact"/>
              <w:jc w:val="center"/>
            </w:pPr>
            <w:hyperlink r:id="rId53">
              <w:r>
                <w:rPr>
                  <w:rStyle w:val="Hyperlink"/>
                </w:rPr>
                <w:t xml:space="preserve">Watch</w:t>
              </w:r>
            </w:hyperlink>
          </w:p>
        </w:tc>
      </w:tr>
      <w:tr>
        <w:tc>
          <w:tcPr/>
          <w:p>
            <w:pPr>
              <w:pStyle w:val="Compact"/>
              <w:jc w:val="center"/>
            </w:pPr>
            <w:r>
              <w:t xml:space="preserve">29</w:t>
            </w:r>
          </w:p>
        </w:tc>
        <w:tc>
          <w:tcPr/>
          <w:p>
            <w:pPr>
              <w:pStyle w:val="Compact"/>
              <w:jc w:val="right"/>
            </w:pPr>
            <w:r>
              <w:t xml:space="preserve">27</w:t>
            </w:r>
          </w:p>
        </w:tc>
        <w:tc>
          <w:tcPr/>
          <w:p>
            <w:pPr>
              <w:pStyle w:val="Compact"/>
            </w:pPr>
            <w:r>
              <w:t xml:space="preserve">Infoblox Integration</w:t>
            </w:r>
          </w:p>
        </w:tc>
        <w:tc>
          <w:tcPr/>
          <w:p>
            <w:pPr>
              <w:pStyle w:val="Compact"/>
            </w:pPr>
            <w:r>
              <w:t xml:space="preserve">DNS / IPAM context.</w:t>
            </w:r>
          </w:p>
        </w:tc>
        <w:tc>
          <w:tcPr/>
          <w:p>
            <w:pPr>
              <w:pStyle w:val="Compact"/>
              <w:jc w:val="center"/>
            </w:pPr>
            <w:hyperlink r:id="rId54">
              <w:r>
                <w:rPr>
                  <w:rStyle w:val="Hyperlink"/>
                </w:rPr>
                <w:t xml:space="preserve">Watch</w:t>
              </w:r>
            </w:hyperlink>
          </w:p>
        </w:tc>
      </w:tr>
      <w:tr>
        <w:tc>
          <w:tcPr/>
          <w:p>
            <w:pPr>
              <w:pStyle w:val="Compact"/>
              <w:jc w:val="center"/>
            </w:pPr>
            <w:r>
              <w:t xml:space="preserve">30</w:t>
            </w:r>
          </w:p>
        </w:tc>
        <w:tc>
          <w:tcPr/>
          <w:p>
            <w:pPr>
              <w:pStyle w:val="Compact"/>
              <w:jc w:val="right"/>
            </w:pPr>
            <w:r>
              <w:t xml:space="preserve">28</w:t>
            </w:r>
          </w:p>
        </w:tc>
        <w:tc>
          <w:tcPr/>
          <w:p>
            <w:pPr>
              <w:pStyle w:val="Compact"/>
            </w:pPr>
            <w:r>
              <w:t xml:space="preserve">Algosec Integration</w:t>
            </w:r>
          </w:p>
        </w:tc>
        <w:tc>
          <w:tcPr/>
          <w:p>
            <w:pPr>
              <w:pStyle w:val="Compact"/>
            </w:pPr>
            <w:r>
              <w:t xml:space="preserve">Firewall-policy lifecycle.</w:t>
            </w:r>
          </w:p>
        </w:tc>
        <w:tc>
          <w:tcPr/>
          <w:p>
            <w:pPr>
              <w:pStyle w:val="Compact"/>
              <w:jc w:val="center"/>
            </w:pPr>
            <w:hyperlink r:id="rId55">
              <w:r>
                <w:rPr>
                  <w:rStyle w:val="Hyperlink"/>
                </w:rPr>
                <w:t xml:space="preserve">Watch</w:t>
              </w:r>
            </w:hyperlink>
          </w:p>
        </w:tc>
      </w:tr>
      <w:tr>
        <w:tc>
          <w:tcPr/>
          <w:p>
            <w:pPr>
              <w:pStyle w:val="Compact"/>
              <w:jc w:val="center"/>
            </w:pPr>
            <w:r>
              <w:t xml:space="preserve">31</w:t>
            </w:r>
          </w:p>
        </w:tc>
        <w:tc>
          <w:tcPr/>
          <w:p>
            <w:pPr>
              <w:pStyle w:val="Compact"/>
              <w:jc w:val="right"/>
            </w:pPr>
            <w:r>
              <w:t xml:space="preserve">29</w:t>
            </w:r>
          </w:p>
        </w:tc>
        <w:tc>
          <w:tcPr/>
          <w:p>
            <w:pPr>
              <w:pStyle w:val="Compact"/>
            </w:pPr>
            <w:r>
              <w:t xml:space="preserve">ISE (In Action)</w:t>
            </w:r>
          </w:p>
        </w:tc>
        <w:tc>
          <w:tcPr/>
          <w:p>
            <w:pPr>
              <w:pStyle w:val="Compact"/>
            </w:pPr>
            <w:r>
              <w:t xml:space="preserve">Identity from Cisco ISE.</w:t>
            </w:r>
          </w:p>
        </w:tc>
        <w:tc>
          <w:tcPr/>
          <w:p>
            <w:pPr>
              <w:pStyle w:val="Compact"/>
              <w:jc w:val="center"/>
            </w:pPr>
            <w:hyperlink r:id="rId56">
              <w:r>
                <w:rPr>
                  <w:rStyle w:val="Hyperlink"/>
                </w:rPr>
                <w:t xml:space="preserve">Watch</w:t>
              </w:r>
            </w:hyperlink>
          </w:p>
        </w:tc>
      </w:tr>
      <w:tr>
        <w:tc>
          <w:tcPr/>
          <w:p>
            <w:pPr>
              <w:pStyle w:val="Compact"/>
              <w:jc w:val="center"/>
            </w:pPr>
            <w:r>
              <w:t xml:space="preserve">32</w:t>
            </w:r>
          </w:p>
        </w:tc>
        <w:tc>
          <w:tcPr/>
          <w:p>
            <w:pPr>
              <w:pStyle w:val="Compact"/>
              <w:jc w:val="right"/>
            </w:pPr>
            <w:r>
              <w:t xml:space="preserve">30</w:t>
            </w:r>
          </w:p>
        </w:tc>
        <w:tc>
          <w:tcPr/>
          <w:p>
            <w:pPr>
              <w:pStyle w:val="Compact"/>
            </w:pPr>
            <w:r>
              <w:t xml:space="preserve">FMC / Edge / Ingest / Appliance</w:t>
            </w:r>
          </w:p>
        </w:tc>
        <w:tc>
          <w:tcPr/>
          <w:p>
            <w:pPr>
              <w:pStyle w:val="Compact"/>
            </w:pPr>
            <w:r>
              <w:t xml:space="preserve">FMC integration paths.</w:t>
            </w:r>
          </w:p>
        </w:tc>
        <w:tc>
          <w:tcPr/>
          <w:p>
            <w:pPr>
              <w:pStyle w:val="Compact"/>
              <w:jc w:val="center"/>
            </w:pPr>
            <w:hyperlink r:id="rId57">
              <w:r>
                <w:rPr>
                  <w:rStyle w:val="Hyperlink"/>
                </w:rPr>
                <w:t xml:space="preserve">Watch</w:t>
              </w:r>
            </w:hyperlink>
          </w:p>
        </w:tc>
      </w:tr>
      <w:tr>
        <w:tc>
          <w:tcPr/>
          <w:p>
            <w:pPr>
              <w:pStyle w:val="Compact"/>
              <w:jc w:val="center"/>
            </w:pPr>
            <w:r>
              <w:t xml:space="preserve">33</w:t>
            </w:r>
          </w:p>
        </w:tc>
        <w:tc>
          <w:tcPr/>
          <w:p>
            <w:pPr>
              <w:pStyle w:val="Compact"/>
              <w:jc w:val="right"/>
            </w:pPr>
            <w:r>
              <w:t xml:space="preserve">31</w:t>
            </w:r>
          </w:p>
        </w:tc>
        <w:tc>
          <w:tcPr/>
          <w:p>
            <w:pPr>
              <w:pStyle w:val="Compact"/>
            </w:pPr>
            <w:r>
              <w:t xml:space="preserve">ACI and CSW Integration</w:t>
            </w:r>
          </w:p>
        </w:tc>
        <w:tc>
          <w:tcPr/>
          <w:p>
            <w:pPr>
              <w:pStyle w:val="Compact"/>
            </w:pPr>
            <w:r>
              <w:t xml:space="preserve">ACI + workload segmentation.</w:t>
            </w:r>
          </w:p>
        </w:tc>
        <w:tc>
          <w:tcPr/>
          <w:p>
            <w:pPr>
              <w:pStyle w:val="Compact"/>
              <w:jc w:val="center"/>
            </w:pPr>
            <w:hyperlink r:id="rId58">
              <w:r>
                <w:rPr>
                  <w:rStyle w:val="Hyperlink"/>
                </w:rPr>
                <w:t xml:space="preserve">Watch</w:t>
              </w:r>
            </w:hyperlink>
          </w:p>
        </w:tc>
      </w:tr>
      <w:tr>
        <w:tc>
          <w:tcPr/>
          <w:p>
            <w:pPr>
              <w:pStyle w:val="Compact"/>
              <w:jc w:val="center"/>
            </w:pPr>
            <w:r>
              <w:t xml:space="preserve">34</w:t>
            </w:r>
          </w:p>
        </w:tc>
        <w:tc>
          <w:tcPr/>
          <w:p>
            <w:pPr>
              <w:pStyle w:val="Compact"/>
              <w:jc w:val="right"/>
            </w:pPr>
            <w:r>
              <w:t xml:space="preserve">35</w:t>
            </w:r>
          </w:p>
        </w:tc>
        <w:tc>
          <w:tcPr/>
          <w:p>
            <w:pPr>
              <w:pStyle w:val="Compact"/>
            </w:pPr>
            <w:r>
              <w:t xml:space="preserve">Splunk Integration (SIEM)</w:t>
            </w:r>
          </w:p>
        </w:tc>
        <w:tc>
          <w:tcPr/>
          <w:p>
            <w:pPr>
              <w:pStyle w:val="Compact"/>
            </w:pPr>
            <w:r>
              <w:t xml:space="preserve">Cisco Security Cloud App for baseline datasets, CSW → Splunk Syslog alerts, plus Splunk-driven Python against the CSW API.</w:t>
            </w:r>
          </w:p>
        </w:tc>
        <w:tc>
          <w:tcPr/>
          <w:p>
            <w:pPr>
              <w:pStyle w:val="Compact"/>
              <w:jc w:val="center"/>
            </w:pPr>
            <w:hyperlink r:id="rId59">
              <w:r>
                <w:rPr>
                  <w:rStyle w:val="Hyperlink"/>
                </w:rPr>
                <w:t xml:space="preserve">Watch</w:t>
              </w:r>
            </w:hyperlink>
          </w:p>
        </w:tc>
      </w:tr>
      <w:tr>
        <w:tc>
          <w:tcPr/>
          <w:p>
            <w:pPr>
              <w:pStyle w:val="Compact"/>
              <w:jc w:val="center"/>
            </w:pPr>
            <w:r>
              <w:t xml:space="preserve">35</w:t>
            </w:r>
          </w:p>
        </w:tc>
        <w:tc>
          <w:tcPr/>
          <w:p>
            <w:pPr>
              <w:pStyle w:val="Compact"/>
              <w:jc w:val="right"/>
            </w:pPr>
            <w:r>
              <w:t xml:space="preserve">36</w:t>
            </w:r>
          </w:p>
        </w:tc>
        <w:tc>
          <w:tcPr/>
          <w:p>
            <w:pPr>
              <w:pStyle w:val="Compact"/>
            </w:pPr>
            <w:r>
              <w:t xml:space="preserve">CI/CD Pipeline Integration</w:t>
            </w:r>
          </w:p>
        </w:tc>
        <w:tc>
          <w:tcPr/>
          <w:p>
            <w:pPr>
              <w:pStyle w:val="Compact"/>
            </w:pPr>
            <w:r>
              <w:t xml:space="preserve">Labels, scopes, and policies as code in git; pipeline-driven API calls keep the CSW tenant in sync.</w:t>
            </w:r>
          </w:p>
        </w:tc>
        <w:tc>
          <w:tcPr/>
          <w:p>
            <w:pPr>
              <w:pStyle w:val="Compact"/>
              <w:jc w:val="center"/>
            </w:pPr>
            <w:hyperlink r:id="rId60">
              <w:r>
                <w:rPr>
                  <w:rStyle w:val="Hyperlink"/>
                </w:rPr>
                <w:t xml:space="preserve">Watch</w:t>
              </w:r>
            </w:hyperlink>
          </w:p>
        </w:tc>
      </w:tr>
    </w:tbl>
    <w:p>
      <w:pPr>
        <w:pStyle w:val="BodyText"/>
      </w:pPr>
      <w:r>
        <w:rPr>
          <w:b/>
          <w:bCs/>
        </w:rPr>
        <w:t xml:space="preserve">Splunk integration — three patterns to plan for in a POV: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What it gives the customer</w:t>
            </w:r>
          </w:p>
        </w:tc>
        <w:tc>
          <w:tcPr/>
          <w:p>
            <w:pPr>
              <w:pStyle w:val="Compact"/>
            </w:pPr>
            <w:r>
              <w:t xml:space="preserve">Effort</w:t>
            </w:r>
          </w:p>
        </w:tc>
      </w:tr>
      <w:tr>
        <w:tc>
          <w:tcPr/>
          <w:p>
            <w:pPr>
              <w:pStyle w:val="Compact"/>
            </w:pPr>
            <w:r>
              <w:t xml:space="preserve">1</w:t>
            </w:r>
          </w:p>
        </w:tc>
        <w:tc>
          <w:tcPr/>
          <w:p>
            <w:pPr>
              <w:pStyle w:val="Compact"/>
            </w:pPr>
            <w:r>
              <w:rPr>
                <w:b/>
                <w:bCs/>
              </w:rPr>
              <w:t xml:space="preserve">Cisco Security Cloud App for Splunk</w:t>
            </w:r>
          </w:p>
        </w:tc>
        <w:tc>
          <w:tcPr/>
          <w:p>
            <w:pPr>
              <w:pStyle w:val="Compact"/>
            </w:pPr>
            <w:r>
              <w:t xml:space="preserve">Install the Cisco-published Splunk app; it reaches back to CSW for a baseline set of datasets and dashboards. Demonstrates value with minimal configuration.</w:t>
            </w:r>
          </w:p>
        </w:tc>
        <w:tc>
          <w:tcPr/>
          <w:p>
            <w:pPr>
              <w:pStyle w:val="Compact"/>
            </w:pPr>
            <w:r>
              <w:t xml:space="preserve">Lowest</w:t>
            </w:r>
          </w:p>
        </w:tc>
      </w:tr>
      <w:tr>
        <w:tc>
          <w:tcPr/>
          <w:p>
            <w:pPr>
              <w:pStyle w:val="Compact"/>
            </w:pPr>
            <w:r>
              <w:t xml:space="preserve">2</w:t>
            </w:r>
          </w:p>
        </w:tc>
        <w:tc>
          <w:tcPr/>
          <w:p>
            <w:pPr>
              <w:pStyle w:val="Compact"/>
            </w:pPr>
            <w:r>
              <w:rPr>
                <w:b/>
                <w:bCs/>
              </w:rPr>
              <w:t xml:space="preserve">CSW → Splunk Syslog alerts</w:t>
            </w:r>
          </w:p>
        </w:tc>
        <w:tc>
          <w:tcPr/>
          <w:p>
            <w:pPr>
              <w:pStyle w:val="Compact"/>
            </w:pPr>
            <w:r>
              <w:t xml:space="preserve">Configure CSW to push alarms / alerts to Splunk over Syslog. SOC sees policy violations, agent-health events, and forensic signals next to the rest of their telemetry.</w:t>
            </w:r>
          </w:p>
        </w:tc>
        <w:tc>
          <w:tcPr/>
          <w:p>
            <w:pPr>
              <w:pStyle w:val="Compact"/>
            </w:pPr>
            <w:r>
              <w:t xml:space="preserve">Low</w:t>
            </w:r>
          </w:p>
        </w:tc>
      </w:tr>
      <w:tr>
        <w:tc>
          <w:tcPr/>
          <w:p>
            <w:pPr>
              <w:pStyle w:val="Compact"/>
            </w:pPr>
            <w:r>
              <w:t xml:space="preserve">3</w:t>
            </w:r>
          </w:p>
        </w:tc>
        <w:tc>
          <w:tcPr/>
          <w:p>
            <w:pPr>
              <w:pStyle w:val="Compact"/>
            </w:pPr>
            <w:r>
              <w:rPr>
                <w:b/>
                <w:bCs/>
              </w:rPr>
              <w:t xml:space="preserve">Splunk → CSW API (Python)</w:t>
            </w:r>
          </w:p>
        </w:tc>
        <w:tc>
          <w:tcPr/>
          <w:p>
            <w:pPr>
              <w:pStyle w:val="Compact"/>
            </w:pPr>
            <w:r>
              <w:t xml:space="preserve">Splunk launches Python scripts against the CSW API. Anything the API exposes — inventory, scopes, labels, policies, enforcement state, vulnerabilities, flow summaries (everything</w:t>
            </w:r>
            <w:r>
              <w:t xml:space="preserve"> </w:t>
            </w:r>
            <w:r>
              <w:rPr>
                <w:b/>
                <w:bCs/>
              </w:rPr>
              <w:t xml:space="preserve">except the raw flow data itself</w:t>
            </w:r>
            <w:r>
              <w:t xml:space="preserve">) — can be pulled into Splunk and indexed, dashboarded, or alerted on. Any CSW API automation already written becomes a Splunk-driven data feed.</w:t>
            </w:r>
          </w:p>
        </w:tc>
        <w:tc>
          <w:tcPr/>
          <w:p>
            <w:pPr>
              <w:pStyle w:val="Compact"/>
            </w:pPr>
            <w:r>
              <w:t xml:space="preserve">Medium → High (custom)</w:t>
            </w:r>
          </w:p>
        </w:tc>
      </w:tr>
    </w:tbl>
    <w:p>
      <w:pPr>
        <w:pStyle w:val="BodyText"/>
      </w:pPr>
      <w:r>
        <w:rPr>
          <w:b/>
          <w:bCs/>
        </w:rPr>
        <w:t xml:space="preserve">POV positioning:</w:t>
      </w:r>
      <w:r>
        <w:t xml:space="preserve"> </w:t>
      </w:r>
      <w:r>
        <w:t xml:space="preserve">start with pattern 1 to prove the integration path is live, layer in pattern 2 so the SOC has alerts in their existing console, and reserve pattern 3 for the "custom dataset" conversation where the customer asks for something the out-of-the-box app does not surface. The pattern 3 ceiling is essentially the CSW API surface itself.</w:t>
      </w:r>
    </w:p>
    <w:p>
      <w:pPr>
        <w:pStyle w:val="BodyText"/>
      </w:pPr>
      <w:r>
        <w:rPr>
          <w:b/>
          <w:bCs/>
        </w:rPr>
        <w:t xml:space="preserve">CI/CD pipeline integration — what it typically wires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Wire-up</w:t>
            </w:r>
          </w:p>
        </w:tc>
        <w:tc>
          <w:tcPr/>
          <w:p>
            <w:pPr>
              <w:pStyle w:val="Compact"/>
            </w:pPr>
            <w:r>
              <w:t xml:space="preserve">What it gives the customer</w:t>
            </w:r>
          </w:p>
        </w:tc>
        <w:tc>
          <w:tcPr/>
          <w:p>
            <w:pPr>
              <w:pStyle w:val="Compact"/>
            </w:pPr>
            <w:r>
              <w:t xml:space="preserve">Where it lands in the runbook</w:t>
            </w:r>
          </w:p>
        </w:tc>
      </w:tr>
      <w:tr>
        <w:tc>
          <w:tcPr/>
          <w:p>
            <w:pPr>
              <w:pStyle w:val="Compact"/>
            </w:pPr>
            <w:r>
              <w:rPr>
                <w:b/>
                <w:bCs/>
              </w:rPr>
              <w:t xml:space="preserve">Policy-as-code</w:t>
            </w:r>
            <w:r>
              <w:t xml:space="preserve"> </w:t>
            </w:r>
            <w:r>
              <w:t xml:space="preserve">— scopes, labels, intent-policy stored in git; pipeline applies via CSW API.</w:t>
            </w:r>
          </w:p>
        </w:tc>
        <w:tc>
          <w:tcPr/>
          <w:p>
            <w:pPr>
              <w:pStyle w:val="Compact"/>
            </w:pPr>
            <w:r>
              <w:t xml:space="preserve">Tenant changes go through code review, not console clicks. Auditable, reviewable, revertable.</w:t>
            </w:r>
          </w:p>
        </w:tc>
        <w:tc>
          <w:tcPr/>
          <w:p>
            <w:pPr>
              <w:pStyle w:val="Compact"/>
            </w:pPr>
            <w:r>
              <w:t xml:space="preserve">§ 8 Phase 8 (Operationalize) — replaces ad-hoc UI changes.</w:t>
            </w:r>
          </w:p>
        </w:tc>
      </w:tr>
      <w:tr>
        <w:tc>
          <w:tcPr/>
          <w:p>
            <w:pPr>
              <w:pStyle w:val="Compact"/>
            </w:pPr>
            <w:r>
              <w:rPr>
                <w:b/>
                <w:bCs/>
              </w:rPr>
              <w:t xml:space="preserve">Promotion across environments</w:t>
            </w:r>
            <w:r>
              <w:t xml:space="preserve"> </w:t>
            </w:r>
            <w:r>
              <w:t xml:space="preserve">— same bundle rolls dev → staging → prod, starting in Monitor mode.</w:t>
            </w:r>
          </w:p>
        </w:tc>
        <w:tc>
          <w:tcPr/>
          <w:p>
            <w:pPr>
              <w:pStyle w:val="Compact"/>
            </w:pPr>
            <w:r>
              <w:t xml:space="preserve">Lower-risk roll-forward; the production change is the same artifact that already passed in lower environments.</w:t>
            </w:r>
          </w:p>
        </w:tc>
        <w:tc>
          <w:tcPr/>
          <w:p>
            <w:pPr>
              <w:pStyle w:val="Compact"/>
            </w:pPr>
            <w:r>
              <w:t xml:space="preserve">§ 8 Phase 6 (Monitor Mode) → Phase 7 (Enforce).</w:t>
            </w:r>
          </w:p>
        </w:tc>
      </w:tr>
      <w:tr>
        <w:tc>
          <w:tcPr/>
          <w:p>
            <w:pPr>
              <w:pStyle w:val="Compact"/>
            </w:pPr>
            <w:r>
              <w:rPr>
                <w:b/>
                <w:bCs/>
              </w:rPr>
              <w:t xml:space="preserve">Label sync from sources of truth</w:t>
            </w:r>
            <w:r>
              <w:t xml:space="preserve"> </w:t>
            </w:r>
            <w:r>
              <w:t xml:space="preserve">— CMDB / cloud tag exports normalized in CI and pushed to CSW.</w:t>
            </w:r>
          </w:p>
        </w:tc>
        <w:tc>
          <w:tcPr/>
          <w:p>
            <w:pPr>
              <w:pStyle w:val="Compact"/>
            </w:pPr>
            <w:r>
              <w:t xml:space="preserve">Labels stay accurate over time without manual upkeep, which is the #1 way label strategies decay.</w:t>
            </w:r>
          </w:p>
        </w:tc>
        <w:tc>
          <w:tcPr/>
          <w:p>
            <w:pPr>
              <w:pStyle w:val="Compact"/>
            </w:pPr>
            <w:r>
              <w:t xml:space="preserve">§ 8 Phase 2 (Build the Label Strategy).</w:t>
            </w:r>
          </w:p>
        </w:tc>
      </w:tr>
      <w:tr>
        <w:tc>
          <w:tcPr/>
          <w:p>
            <w:pPr>
              <w:pStyle w:val="Compact"/>
            </w:pPr>
            <w:r>
              <w:rPr>
                <w:b/>
                <w:bCs/>
              </w:rPr>
              <w:t xml:space="preserve">Drift detection</w:t>
            </w:r>
            <w:r>
              <w:t xml:space="preserve"> </w:t>
            </w:r>
            <w:r>
              <w:t xml:space="preserve">— scheduled job diffs live tenant vs git.</w:t>
            </w:r>
          </w:p>
        </w:tc>
        <w:tc>
          <w:tcPr/>
          <w:p>
            <w:pPr>
              <w:pStyle w:val="Compact"/>
            </w:pPr>
            <w:r>
              <w:t xml:space="preserve">Out-of-band changes get caught and either back-ported to git or rolled back.</w:t>
            </w:r>
          </w:p>
        </w:tc>
        <w:tc>
          <w:tcPr/>
          <w:p>
            <w:pPr>
              <w:pStyle w:val="Compact"/>
            </w:pPr>
            <w:r>
              <w:t xml:space="preserve">§ 8 Phase 8 (Operationalize) — change-process enforcement.</w:t>
            </w:r>
          </w:p>
        </w:tc>
      </w:tr>
      <w:tr>
        <w:tc>
          <w:tcPr/>
          <w:p>
            <w:pPr>
              <w:pStyle w:val="Compact"/>
            </w:pPr>
            <w:r>
              <w:rPr>
                <w:b/>
                <w:bCs/>
              </w:rPr>
              <w:t xml:space="preserve">Same API surface as Splunk pattern 3</w:t>
            </w:r>
            <w:r>
              <w:t xml:space="preserve"> </w:t>
            </w:r>
            <w:r>
              <w:t xml:space="preserve">— Python you already wrote for CSW becomes a pipeline step.</w:t>
            </w:r>
          </w:p>
        </w:tc>
        <w:tc>
          <w:tcPr/>
          <w:p>
            <w:pPr>
              <w:pStyle w:val="Compact"/>
            </w:pPr>
            <w:r>
              <w:t xml:space="preserve">Investment in CSW API automation compounds across SIEM ingestion and CI/CD.</w:t>
            </w:r>
          </w:p>
        </w:tc>
        <w:tc>
          <w:tcPr/>
          <w:p>
            <w:pPr>
              <w:pStyle w:val="Compact"/>
            </w:pPr>
            <w:r>
              <w:t xml:space="preserve">§ 8 Phase 8 — "Build API or CI/CD automation where needed."</w:t>
            </w:r>
          </w:p>
        </w:tc>
      </w:tr>
    </w:tbl>
    <w:p>
      <w:pPr>
        <w:pStyle w:val="BodyText"/>
      </w:pPr>
      <w:r>
        <w:rPr>
          <w:b/>
          <w:bCs/>
        </w:rPr>
        <w:t xml:space="preserve">POV positioning:</w:t>
      </w:r>
      <w:r>
        <w:t xml:space="preserve"> </w:t>
      </w:r>
      <w:r>
        <w:t xml:space="preserve">the CI/CD story usually lands well with cloud / platform teams who already manage everything else as code and bristle at "click here in the console" instructions. Start with policy-as-code for one application scope from the POV — it pairs naturally with the Phase 3 ADM → policy modeling output, since the modeled policy is already structured data.</w:t>
      </w:r>
    </w:p>
    <w:bookmarkEnd w:id="61"/>
    <w:bookmarkStart w:id="63" w:name="X075da46d2c2e8e62f26dd0dd2b1479576f22a39"/>
    <w:p>
      <w:pPr>
        <w:pStyle w:val="Heading3"/>
      </w:pPr>
      <w:r>
        <w:t xml:space="preserve">6.8 Module 8 — Containers and Kubernetes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36</w:t>
            </w:r>
          </w:p>
        </w:tc>
        <w:tc>
          <w:tcPr/>
          <w:p>
            <w:pPr>
              <w:pStyle w:val="Compact"/>
              <w:jc w:val="right"/>
            </w:pPr>
            <w:r>
              <w:t xml:space="preserve">32</w:t>
            </w:r>
          </w:p>
        </w:tc>
        <w:tc>
          <w:tcPr/>
          <w:p>
            <w:pPr>
              <w:pStyle w:val="Compact"/>
            </w:pPr>
            <w:r>
              <w:t xml:space="preserve">Agent K8s</w:t>
            </w:r>
          </w:p>
        </w:tc>
        <w:tc>
          <w:tcPr/>
          <w:p>
            <w:pPr>
              <w:pStyle w:val="Compact"/>
            </w:pPr>
            <w:r>
              <w:t xml:space="preserve">Agent in Kubernetes.</w:t>
            </w:r>
          </w:p>
        </w:tc>
        <w:tc>
          <w:tcPr/>
          <w:p>
            <w:pPr>
              <w:pStyle w:val="Compact"/>
              <w:jc w:val="center"/>
            </w:pPr>
            <w:hyperlink r:id="rId62">
              <w:r>
                <w:rPr>
                  <w:rStyle w:val="Hyperlink"/>
                </w:rPr>
                <w:t xml:space="preserve">Watch</w:t>
              </w:r>
            </w:hyperlink>
          </w:p>
        </w:tc>
      </w:tr>
    </w:tbl>
    <w:p>
      <w:r>
        <w:pict>
          <v:rect style="width:0;height:1.5pt" o:hralign="center" o:hrstd="t" o:hr="t"/>
        </w:pict>
      </w:r>
    </w:p>
    <w:bookmarkEnd w:id="63"/>
    <w:bookmarkEnd w:id="64"/>
    <w:bookmarkStart w:id="68" w:name="Xb9f64f467495bd55447e9bc3c7ae8dd7dbb3895"/>
    <w:p>
      <w:pPr>
        <w:pStyle w:val="Heading2"/>
      </w:pPr>
      <w:r>
        <w:t xml:space="preserve">7. How to Explain CSW in a Customer Meeting</w:t>
      </w:r>
    </w:p>
    <w:bookmarkStart w:id="65"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65"/>
    <w:bookmarkStart w:id="66"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66"/>
    <w:bookmarkStart w:id="67" w:name="common-positioning"/>
    <w:p>
      <w:pPr>
        <w:pStyle w:val="Heading3"/>
      </w:pPr>
      <w:r>
        <w:t xml:space="preserve">Common positioning</w:t>
      </w:r>
    </w:p>
    <w:p>
      <w:pPr>
        <w:pStyle w:val="Compact"/>
        <w:numPr>
          <w:ilvl w:val="0"/>
          <w:numId w:val="1007"/>
        </w:numPr>
      </w:pPr>
      <w:r>
        <w:rPr>
          <w:b/>
          <w:bCs/>
        </w:rPr>
        <w:t xml:space="preserve">For security:</w:t>
      </w:r>
      <w:r>
        <w:t xml:space="preserve"> </w:t>
      </w:r>
      <w:r>
        <w:t xml:space="preserve">Reduce lateral movement and contain high-risk applications.</w:t>
      </w:r>
    </w:p>
    <w:p>
      <w:pPr>
        <w:pStyle w:val="Compact"/>
        <w:numPr>
          <w:ilvl w:val="0"/>
          <w:numId w:val="1007"/>
        </w:numPr>
      </w:pPr>
      <w:r>
        <w:rPr>
          <w:b/>
          <w:bCs/>
        </w:rPr>
        <w:t xml:space="preserve">For network teams:</w:t>
      </w:r>
      <w:r>
        <w:t xml:space="preserve"> </w:t>
      </w:r>
      <w:r>
        <w:t xml:space="preserve">Shift from static IP / subnet rules to workload-aware policy.</w:t>
      </w:r>
    </w:p>
    <w:p>
      <w:pPr>
        <w:pStyle w:val="Compact"/>
        <w:numPr>
          <w:ilvl w:val="0"/>
          <w:numId w:val="1007"/>
        </w:numPr>
      </w:pPr>
      <w:r>
        <w:rPr>
          <w:b/>
          <w:bCs/>
        </w:rPr>
        <w:t xml:space="preserve">For application teams:</w:t>
      </w:r>
      <w:r>
        <w:t xml:space="preserve"> </w:t>
      </w:r>
      <w:r>
        <w:t xml:space="preserve">Discover dependencies before enforcement and avoid unexpected outages.</w:t>
      </w:r>
    </w:p>
    <w:p>
      <w:pPr>
        <w:pStyle w:val="Compact"/>
        <w:numPr>
          <w:ilvl w:val="0"/>
          <w:numId w:val="1007"/>
        </w:numPr>
      </w:pPr>
      <w:r>
        <w:rPr>
          <w:b/>
          <w:bCs/>
        </w:rPr>
        <w:t xml:space="preserve">For cloud teams:</w:t>
      </w:r>
      <w:r>
        <w:t xml:space="preserve"> </w:t>
      </w:r>
      <w:r>
        <w:t xml:space="preserve">Use cloud tags and dynamic metadata so policy follows workloads.</w:t>
      </w:r>
    </w:p>
    <w:p>
      <w:pPr>
        <w:pStyle w:val="Compact"/>
        <w:numPr>
          <w:ilvl w:val="0"/>
          <w:numId w:val="1007"/>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67"/>
    <w:bookmarkEnd w:id="68"/>
    <w:bookmarkStart w:id="78" w:name="X861afc8e8f3d3fa2cbc4317cb6150d80f9f9ccf"/>
    <w:p>
      <w:pPr>
        <w:pStyle w:val="Heading2"/>
      </w:pPr>
      <w:r>
        <w:t xml:space="preserve">8. CSW Onboarding Runbook</w:t>
      </w:r>
    </w:p>
    <w:bookmarkStart w:id="69"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8"/>
        </w:numPr>
      </w:pPr>
      <w:r>
        <w:t xml:space="preserve">Identify the target customer environment: data center, public cloud, containers, or a mix.</w:t>
      </w:r>
    </w:p>
    <w:p>
      <w:pPr>
        <w:pStyle w:val="Compact"/>
        <w:numPr>
          <w:ilvl w:val="0"/>
          <w:numId w:val="1008"/>
        </w:numPr>
      </w:pPr>
      <w:r>
        <w:t xml:space="preserve">Select 2-3 representative applications.</w:t>
      </w:r>
    </w:p>
    <w:p>
      <w:pPr>
        <w:pStyle w:val="Compact"/>
        <w:numPr>
          <w:ilvl w:val="0"/>
          <w:numId w:val="1008"/>
        </w:numPr>
      </w:pPr>
      <w:r>
        <w:t xml:space="preserve">Pick at least one low-risk application and one higher-value application.</w:t>
      </w:r>
    </w:p>
    <w:p>
      <w:pPr>
        <w:pStyle w:val="Compact"/>
        <w:numPr>
          <w:ilvl w:val="0"/>
          <w:numId w:val="1008"/>
        </w:numPr>
      </w:pPr>
      <w:r>
        <w:t xml:space="preserve">Define success criteria:</w:t>
      </w:r>
    </w:p>
    <w:p>
      <w:pPr>
        <w:pStyle w:val="Compact"/>
        <w:numPr>
          <w:ilvl w:val="1"/>
          <w:numId w:val="1009"/>
        </w:numPr>
      </w:pPr>
      <w:r>
        <w:t xml:space="preserve">Flow visibility demonstrated.</w:t>
      </w:r>
    </w:p>
    <w:p>
      <w:pPr>
        <w:pStyle w:val="Compact"/>
        <w:numPr>
          <w:ilvl w:val="1"/>
          <w:numId w:val="1009"/>
        </w:numPr>
      </w:pPr>
      <w:r>
        <w:t xml:space="preserve">Process visibility demonstrated.</w:t>
      </w:r>
    </w:p>
    <w:p>
      <w:pPr>
        <w:pStyle w:val="Compact"/>
        <w:numPr>
          <w:ilvl w:val="1"/>
          <w:numId w:val="1009"/>
        </w:numPr>
      </w:pPr>
      <w:r>
        <w:t xml:space="preserve">Application dependency map reviewed by app owner.</w:t>
      </w:r>
    </w:p>
    <w:p>
      <w:pPr>
        <w:pStyle w:val="Compact"/>
        <w:numPr>
          <w:ilvl w:val="1"/>
          <w:numId w:val="1009"/>
        </w:numPr>
      </w:pPr>
      <w:r>
        <w:t xml:space="preserve">Labels imported or created.</w:t>
      </w:r>
    </w:p>
    <w:p>
      <w:pPr>
        <w:pStyle w:val="Compact"/>
        <w:numPr>
          <w:ilvl w:val="1"/>
          <w:numId w:val="1009"/>
        </w:numPr>
      </w:pPr>
      <w:r>
        <w:t xml:space="preserve">Policy modeled before enforcement.</w:t>
      </w:r>
    </w:p>
    <w:p>
      <w:pPr>
        <w:pStyle w:val="Compact"/>
        <w:numPr>
          <w:ilvl w:val="1"/>
          <w:numId w:val="1009"/>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69"/>
    <w:bookmarkStart w:id="70"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0"/>
        </w:numPr>
      </w:pPr>
      <w:r>
        <w:t xml:space="preserve">Confirm CSW tenant or cluster access.</w:t>
      </w:r>
    </w:p>
    <w:p>
      <w:pPr>
        <w:pStyle w:val="Compact"/>
        <w:numPr>
          <w:ilvl w:val="0"/>
          <w:numId w:val="1010"/>
        </w:numPr>
      </w:pPr>
      <w:r>
        <w:t xml:space="preserve">Create required administrator, operator, and viewer accounts.</w:t>
      </w:r>
    </w:p>
    <w:p>
      <w:pPr>
        <w:pStyle w:val="Compact"/>
        <w:numPr>
          <w:ilvl w:val="0"/>
          <w:numId w:val="1010"/>
        </w:numPr>
      </w:pPr>
      <w:r>
        <w:t xml:space="preserve">Configure SSO / MFA / RBAC if in scope.</w:t>
      </w:r>
    </w:p>
    <w:p>
      <w:pPr>
        <w:pStyle w:val="Compact"/>
        <w:numPr>
          <w:ilvl w:val="0"/>
          <w:numId w:val="1010"/>
        </w:numPr>
      </w:pPr>
      <w:r>
        <w:t xml:space="preserve">Confirm API access if automation or reporting is part of the POV.</w:t>
      </w:r>
    </w:p>
    <w:p>
      <w:pPr>
        <w:pStyle w:val="Compact"/>
        <w:numPr>
          <w:ilvl w:val="0"/>
          <w:numId w:val="1010"/>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70"/>
    <w:bookmarkStart w:id="71"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1"/>
        </w:numPr>
      </w:pPr>
      <w:r>
        <w:t xml:space="preserve">Agree on a minimal label taxonomy.</w:t>
      </w:r>
    </w:p>
    <w:p>
      <w:pPr>
        <w:pStyle w:val="Compact"/>
        <w:numPr>
          <w:ilvl w:val="0"/>
          <w:numId w:val="1011"/>
        </w:numPr>
      </w:pPr>
      <w:r>
        <w:t xml:space="preserve">Map sources for each label: ServiceNow, cloud tags, manual, API, or observed behavior.</w:t>
      </w:r>
    </w:p>
    <w:p>
      <w:pPr>
        <w:pStyle w:val="Compact"/>
        <w:numPr>
          <w:ilvl w:val="0"/>
          <w:numId w:val="1011"/>
        </w:numPr>
      </w:pPr>
      <w:r>
        <w:t xml:space="preserve">Avoid creating too many labels before discovery. Start simple.</w:t>
      </w:r>
    </w:p>
    <w:p>
      <w:pPr>
        <w:pStyle w:val="Compact"/>
        <w:numPr>
          <w:ilvl w:val="0"/>
          <w:numId w:val="1011"/>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71"/>
    <w:bookmarkStart w:id="72"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2"/>
        </w:numPr>
      </w:pPr>
      <w:r>
        <w:t xml:space="preserve">Install CSW agents on selected Linux / Windows workloads.</w:t>
      </w:r>
    </w:p>
    <w:p>
      <w:pPr>
        <w:pStyle w:val="Compact"/>
        <w:numPr>
          <w:ilvl w:val="0"/>
          <w:numId w:val="1012"/>
        </w:numPr>
      </w:pPr>
      <w:r>
        <w:t xml:space="preserve">Confirm agent health and visibility.</w:t>
      </w:r>
    </w:p>
    <w:p>
      <w:pPr>
        <w:pStyle w:val="Compact"/>
        <w:numPr>
          <w:ilvl w:val="0"/>
          <w:numId w:val="1012"/>
        </w:numPr>
      </w:pPr>
      <w:r>
        <w:t xml:space="preserve">Deploy a CSW Edge virtual appliance if connector workloads are required.</w:t>
      </w:r>
    </w:p>
    <w:p>
      <w:pPr>
        <w:pStyle w:val="Compact"/>
        <w:numPr>
          <w:ilvl w:val="0"/>
          <w:numId w:val="1012"/>
        </w:numPr>
      </w:pPr>
      <w:r>
        <w:t xml:space="preserve">Configure ServiceNow connector if CMDB labels are in scope.</w:t>
      </w:r>
    </w:p>
    <w:p>
      <w:pPr>
        <w:pStyle w:val="Compact"/>
        <w:numPr>
          <w:ilvl w:val="0"/>
          <w:numId w:val="1012"/>
        </w:numPr>
      </w:pPr>
      <w:r>
        <w:t xml:space="preserve">Configure cloud connectors if public cloud inventory / tags are in scope.</w:t>
      </w:r>
    </w:p>
    <w:p>
      <w:pPr>
        <w:pStyle w:val="Compact"/>
        <w:numPr>
          <w:ilvl w:val="0"/>
          <w:numId w:val="1012"/>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72"/>
    <w:bookmarkStart w:id="73"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3"/>
        </w:numPr>
      </w:pPr>
      <w:r>
        <w:t xml:space="preserve">Let workloads run through normal business transactions.</w:t>
      </w:r>
    </w:p>
    <w:p>
      <w:pPr>
        <w:pStyle w:val="Compact"/>
        <w:numPr>
          <w:ilvl w:val="0"/>
          <w:numId w:val="1013"/>
        </w:numPr>
      </w:pPr>
      <w:r>
        <w:t xml:space="preserve">Capture L3 / L4 flow data.</w:t>
      </w:r>
    </w:p>
    <w:p>
      <w:pPr>
        <w:pStyle w:val="Compact"/>
        <w:numPr>
          <w:ilvl w:val="0"/>
          <w:numId w:val="1013"/>
        </w:numPr>
      </w:pPr>
      <w:r>
        <w:t xml:space="preserve">Review process-level visibility where supported.</w:t>
      </w:r>
    </w:p>
    <w:p>
      <w:pPr>
        <w:pStyle w:val="Compact"/>
        <w:numPr>
          <w:ilvl w:val="0"/>
          <w:numId w:val="1013"/>
        </w:numPr>
      </w:pPr>
      <w:r>
        <w:t xml:space="preserve">Build application dependency maps.</w:t>
      </w:r>
    </w:p>
    <w:p>
      <w:pPr>
        <w:pStyle w:val="Compact"/>
        <w:numPr>
          <w:ilvl w:val="0"/>
          <w:numId w:val="1013"/>
        </w:numPr>
      </w:pPr>
      <w:r>
        <w:t xml:space="preserve">Review dependencies with application owners.</w:t>
      </w:r>
    </w:p>
    <w:p>
      <w:pPr>
        <w:pStyle w:val="Compact"/>
        <w:numPr>
          <w:ilvl w:val="0"/>
          <w:numId w:val="1013"/>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73"/>
    <w:bookmarkStart w:id="74"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4"/>
        </w:numPr>
      </w:pPr>
      <w:r>
        <w:t xml:space="preserve">Use observed flows and labels to create recommended allow rules.</w:t>
      </w:r>
    </w:p>
    <w:p>
      <w:pPr>
        <w:pStyle w:val="Compact"/>
        <w:numPr>
          <w:ilvl w:val="0"/>
          <w:numId w:val="1014"/>
        </w:numPr>
      </w:pPr>
      <w:r>
        <w:t xml:space="preserve">Group policy by application tiers where possible.</w:t>
      </w:r>
    </w:p>
    <w:p>
      <w:pPr>
        <w:pStyle w:val="Compact"/>
        <w:numPr>
          <w:ilvl w:val="0"/>
          <w:numId w:val="1014"/>
        </w:numPr>
      </w:pPr>
      <w:r>
        <w:t xml:space="preserve">Identify required shared services such as DNS, NTP, authentication, logging, monitoring, backup, and patching.</w:t>
      </w:r>
    </w:p>
    <w:p>
      <w:pPr>
        <w:pStyle w:val="Compact"/>
        <w:numPr>
          <w:ilvl w:val="0"/>
          <w:numId w:val="1014"/>
        </w:numPr>
      </w:pPr>
      <w:r>
        <w:t xml:space="preserve">Model the policy before enforcement.</w:t>
      </w:r>
    </w:p>
    <w:p>
      <w:pPr>
        <w:pStyle w:val="Compact"/>
        <w:numPr>
          <w:ilvl w:val="0"/>
          <w:numId w:val="1014"/>
        </w:numPr>
      </w:pPr>
      <w:r>
        <w:t xml:space="preserve">Review predicted blocked flows with application and operations teams.</w:t>
      </w:r>
    </w:p>
    <w:p>
      <w:pPr>
        <w:pStyle w:val="Compact"/>
        <w:numPr>
          <w:ilvl w:val="0"/>
          <w:numId w:val="1014"/>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74"/>
    <w:bookmarkStart w:id="75"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5"/>
        </w:numPr>
      </w:pPr>
      <w:r>
        <w:t xml:space="preserve">Apply policy in monitor or non-blocking mode where supported.</w:t>
      </w:r>
    </w:p>
    <w:p>
      <w:pPr>
        <w:pStyle w:val="Compact"/>
        <w:numPr>
          <w:ilvl w:val="0"/>
          <w:numId w:val="1015"/>
        </w:numPr>
      </w:pPr>
      <w:r>
        <w:t xml:space="preserve">Run application test transactions.</w:t>
      </w:r>
    </w:p>
    <w:p>
      <w:pPr>
        <w:pStyle w:val="Compact"/>
        <w:numPr>
          <w:ilvl w:val="0"/>
          <w:numId w:val="1015"/>
        </w:numPr>
      </w:pPr>
      <w:r>
        <w:t xml:space="preserve">Review policy violations and unexpected flows.</w:t>
      </w:r>
    </w:p>
    <w:p>
      <w:pPr>
        <w:pStyle w:val="Compact"/>
        <w:numPr>
          <w:ilvl w:val="0"/>
          <w:numId w:val="1015"/>
        </w:numPr>
      </w:pPr>
      <w:r>
        <w:t xml:space="preserve">Update labels or policy rules as needed.</w:t>
      </w:r>
    </w:p>
    <w:p>
      <w:pPr>
        <w:pStyle w:val="Compact"/>
        <w:numPr>
          <w:ilvl w:val="0"/>
          <w:numId w:val="1015"/>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75"/>
    <w:bookmarkStart w:id="76"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6"/>
        </w:numPr>
      </w:pPr>
      <w:r>
        <w:t xml:space="preserve">Select a small enforcement scope.</w:t>
      </w:r>
    </w:p>
    <w:p>
      <w:pPr>
        <w:pStyle w:val="Compact"/>
        <w:numPr>
          <w:ilvl w:val="0"/>
          <w:numId w:val="1016"/>
        </w:numPr>
      </w:pPr>
      <w:r>
        <w:t xml:space="preserve">Schedule a change window.</w:t>
      </w:r>
    </w:p>
    <w:p>
      <w:pPr>
        <w:pStyle w:val="Compact"/>
        <w:numPr>
          <w:ilvl w:val="0"/>
          <w:numId w:val="1016"/>
        </w:numPr>
      </w:pPr>
      <w:r>
        <w:t xml:space="preserve">Confirm rollback plan.</w:t>
      </w:r>
    </w:p>
    <w:p>
      <w:pPr>
        <w:pStyle w:val="Compact"/>
        <w:numPr>
          <w:ilvl w:val="0"/>
          <w:numId w:val="1016"/>
        </w:numPr>
      </w:pPr>
      <w:r>
        <w:t xml:space="preserve">Move selected workloads to enforcement.</w:t>
      </w:r>
    </w:p>
    <w:p>
      <w:pPr>
        <w:pStyle w:val="Compact"/>
        <w:numPr>
          <w:ilvl w:val="0"/>
          <w:numId w:val="1016"/>
        </w:numPr>
      </w:pPr>
      <w:r>
        <w:t xml:space="preserve">Test allowed traffic.</w:t>
      </w:r>
    </w:p>
    <w:p>
      <w:pPr>
        <w:pStyle w:val="Compact"/>
        <w:numPr>
          <w:ilvl w:val="0"/>
          <w:numId w:val="1016"/>
        </w:numPr>
      </w:pPr>
      <w:r>
        <w:t xml:space="preserve">Test intentionally denied traffic.</w:t>
      </w:r>
    </w:p>
    <w:p>
      <w:pPr>
        <w:pStyle w:val="Compact"/>
        <w:numPr>
          <w:ilvl w:val="0"/>
          <w:numId w:val="1016"/>
        </w:numPr>
      </w:pPr>
      <w:r>
        <w:t xml:space="preserve">Confirm logs, alarms, and reports show the expected result.</w:t>
      </w:r>
    </w:p>
    <w:p>
      <w:pPr>
        <w:pStyle w:val="Compact"/>
        <w:numPr>
          <w:ilvl w:val="0"/>
          <w:numId w:val="1016"/>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76"/>
    <w:bookmarkStart w:id="77"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7"/>
        </w:numPr>
      </w:pPr>
      <w:r>
        <w:t xml:space="preserve">Define ownership for labels, scopes, and policies.</w:t>
      </w:r>
    </w:p>
    <w:p>
      <w:pPr>
        <w:pStyle w:val="Compact"/>
        <w:numPr>
          <w:ilvl w:val="0"/>
          <w:numId w:val="1017"/>
        </w:numPr>
      </w:pPr>
      <w:r>
        <w:t xml:space="preserve">Document policy change process.</w:t>
      </w:r>
    </w:p>
    <w:p>
      <w:pPr>
        <w:pStyle w:val="Compact"/>
        <w:numPr>
          <w:ilvl w:val="0"/>
          <w:numId w:val="1017"/>
        </w:numPr>
      </w:pPr>
      <w:r>
        <w:t xml:space="preserve">Integrate logs / alarms with SIEM or SOAR if in scope.</w:t>
      </w:r>
    </w:p>
    <w:p>
      <w:pPr>
        <w:pStyle w:val="Compact"/>
        <w:numPr>
          <w:ilvl w:val="0"/>
          <w:numId w:val="1017"/>
        </w:numPr>
      </w:pPr>
      <w:r>
        <w:t xml:space="preserve">Create recurring policy review cadence.</w:t>
      </w:r>
    </w:p>
    <w:p>
      <w:pPr>
        <w:pStyle w:val="Compact"/>
        <w:numPr>
          <w:ilvl w:val="0"/>
          <w:numId w:val="1017"/>
        </w:numPr>
      </w:pPr>
      <w:r>
        <w:t xml:space="preserve">Build API or CI/CD automation where needed.</w:t>
      </w:r>
      <w:r>
        <w:t xml:space="preserve"> </w:t>
      </w:r>
      <w:r>
        <w:rPr>
          <w:i/>
          <w:iCs/>
        </w:rPr>
        <w:t xml:space="preserve">(See § 6.7 Module 7 — Integrations for the CI/CD pipeline patterns: policy-as-code, environment promotion, label sync, and drift detection.)</w:t>
      </w:r>
    </w:p>
    <w:p>
      <w:pPr>
        <w:pStyle w:val="Compact"/>
        <w:numPr>
          <w:ilvl w:val="0"/>
          <w:numId w:val="1017"/>
        </w:numPr>
      </w:pPr>
      <w:r>
        <w:t xml:space="preserve">Define exception handling for unsupported workloads.</w:t>
      </w:r>
    </w:p>
    <w:p>
      <w:pPr>
        <w:pStyle w:val="Compact"/>
        <w:numPr>
          <w:ilvl w:val="0"/>
          <w:numId w:val="1017"/>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77"/>
    <w:bookmarkEnd w:id="78"/>
    <w:bookmarkStart w:id="79" w:name="X67792f16bd81b6e95001d9627ef1e2127c941c5"/>
    <w:p>
      <w:pPr>
        <w:pStyle w:val="Heading2"/>
      </w:pPr>
      <w:r>
        <w:t xml:space="preserve">9. Discovery Questions</w:t>
      </w:r>
    </w:p>
    <w:p>
      <w:pPr>
        <w:pStyle w:val="FirstParagraph"/>
      </w:pPr>
      <w:r>
        <w:t xml:space="preserve">Use these questions before sizing or designing a POV:</w:t>
      </w:r>
    </w:p>
    <w:p>
      <w:pPr>
        <w:pStyle w:val="Compact"/>
        <w:numPr>
          <w:ilvl w:val="0"/>
          <w:numId w:val="1018"/>
        </w:numPr>
      </w:pPr>
      <w:r>
        <w:t xml:space="preserve">Which business application should be used for the first dependency map?</w:t>
      </w:r>
    </w:p>
    <w:p>
      <w:pPr>
        <w:pStyle w:val="Compact"/>
        <w:numPr>
          <w:ilvl w:val="0"/>
          <w:numId w:val="1018"/>
        </w:numPr>
      </w:pPr>
      <w:r>
        <w:t xml:space="preserve">Which application owner can validate the map?</w:t>
      </w:r>
    </w:p>
    <w:p>
      <w:pPr>
        <w:pStyle w:val="Compact"/>
        <w:numPr>
          <w:ilvl w:val="0"/>
          <w:numId w:val="1018"/>
        </w:numPr>
      </w:pPr>
      <w:r>
        <w:t xml:space="preserve">Which environments are in scope: prod, non-prod, dev, test?</w:t>
      </w:r>
    </w:p>
    <w:p>
      <w:pPr>
        <w:pStyle w:val="Compact"/>
        <w:numPr>
          <w:ilvl w:val="0"/>
          <w:numId w:val="1018"/>
        </w:numPr>
      </w:pPr>
      <w:r>
        <w:t xml:space="preserve">Which platforms are in scope: VMware, bare metal, public cloud, containers?</w:t>
      </w:r>
    </w:p>
    <w:p>
      <w:pPr>
        <w:pStyle w:val="Compact"/>
        <w:numPr>
          <w:ilvl w:val="0"/>
          <w:numId w:val="1018"/>
        </w:numPr>
      </w:pPr>
      <w:r>
        <w:t xml:space="preserve">Which operating systems are in scope?</w:t>
      </w:r>
    </w:p>
    <w:p>
      <w:pPr>
        <w:pStyle w:val="Compact"/>
        <w:numPr>
          <w:ilvl w:val="0"/>
          <w:numId w:val="1018"/>
        </w:numPr>
      </w:pPr>
      <w:r>
        <w:t xml:space="preserve">Is ServiceNow the CMDB source of truth?</w:t>
      </w:r>
    </w:p>
    <w:p>
      <w:pPr>
        <w:pStyle w:val="Compact"/>
        <w:numPr>
          <w:ilvl w:val="0"/>
          <w:numId w:val="1018"/>
        </w:numPr>
      </w:pPr>
      <w:r>
        <w:t xml:space="preserve">Are cloud tags clean enough to use as labels?</w:t>
      </w:r>
    </w:p>
    <w:p>
      <w:pPr>
        <w:pStyle w:val="Compact"/>
        <w:numPr>
          <w:ilvl w:val="0"/>
          <w:numId w:val="1018"/>
        </w:numPr>
      </w:pPr>
      <w:r>
        <w:t xml:space="preserve">Is MFA / SSO required for CSW administrator access?</w:t>
      </w:r>
    </w:p>
    <w:p>
      <w:pPr>
        <w:pStyle w:val="Compact"/>
        <w:numPr>
          <w:ilvl w:val="0"/>
          <w:numId w:val="1018"/>
        </w:numPr>
      </w:pPr>
      <w:r>
        <w:t xml:space="preserve">Are agents allowed on the selected workloads?</w:t>
      </w:r>
    </w:p>
    <w:p>
      <w:pPr>
        <w:pStyle w:val="Compact"/>
        <w:numPr>
          <w:ilvl w:val="0"/>
          <w:numId w:val="1018"/>
        </w:numPr>
      </w:pPr>
      <w:r>
        <w:t xml:space="preserve">Is enforcement part of the POV, or visibility-only?</w:t>
      </w:r>
    </w:p>
    <w:p>
      <w:pPr>
        <w:pStyle w:val="Compact"/>
        <w:numPr>
          <w:ilvl w:val="0"/>
          <w:numId w:val="1018"/>
        </w:numPr>
      </w:pPr>
      <w:r>
        <w:t xml:space="preserve">What is the rollback process for policy enforcement?</w:t>
      </w:r>
    </w:p>
    <w:p>
      <w:pPr>
        <w:pStyle w:val="Compact"/>
        <w:numPr>
          <w:ilvl w:val="0"/>
          <w:numId w:val="1018"/>
        </w:numPr>
      </w:pPr>
      <w:r>
        <w:t xml:space="preserve">Which SIEM / SOAR tools should receive alarms or logs?</w:t>
      </w:r>
      <w:r>
        <w:t xml:space="preserve"> </w:t>
      </w:r>
      <w:r>
        <w:rPr>
          <w:i/>
          <w:iCs/>
        </w:rPr>
        <w:t xml:space="preserve">(If Splunk: confirm interest in the Cisco Security Cloud App, Syslog alert forwarding, and/or Python-driven API ingestion — see § 6.7 Module 7.)</w:t>
      </w:r>
    </w:p>
    <w:p>
      <w:pPr>
        <w:pStyle w:val="Compact"/>
        <w:numPr>
          <w:ilvl w:val="0"/>
          <w:numId w:val="1018"/>
        </w:numPr>
      </w:pPr>
      <w:r>
        <w:t xml:space="preserve">What vulnerability scanner or risk source should be used for high-risk labels?</w:t>
      </w:r>
    </w:p>
    <w:p>
      <w:pPr>
        <w:pStyle w:val="Compact"/>
        <w:numPr>
          <w:ilvl w:val="0"/>
          <w:numId w:val="1018"/>
        </w:numPr>
      </w:pPr>
      <w:r>
        <w:t xml:space="preserve">Who approves policy changes?</w:t>
      </w:r>
    </w:p>
    <w:p>
      <w:pPr>
        <w:pStyle w:val="Compact"/>
        <w:numPr>
          <w:ilvl w:val="0"/>
          <w:numId w:val="1018"/>
        </w:numPr>
      </w:pPr>
      <w:r>
        <w:t xml:space="preserve">What evidence does the customer need at the end of the POV?</w:t>
      </w:r>
    </w:p>
    <w:p>
      <w:r>
        <w:pict>
          <v:rect style="width:0;height:1.5pt" o:hralign="center" o:hrstd="t" o:hr="t"/>
        </w:pict>
      </w:r>
    </w:p>
    <w:bookmarkEnd w:id="79"/>
    <w:bookmarkStart w:id="80" w:name="Xe3d4887c83d95160b9d75f09aebe5899dbbe065"/>
    <w:p>
      <w:pPr>
        <w:pStyle w:val="Heading2"/>
      </w:pPr>
      <w:r>
        <w:t xml:space="preserve">10.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 (for Splunk: Cisco Security Cloud App dashboard panel, a CSW Syslog alert in the indexer, or a Python-pulled CSW API dataset)</w:t>
            </w:r>
          </w:p>
        </w:tc>
      </w:tr>
    </w:tbl>
    <w:p>
      <w:r>
        <w:pict>
          <v:rect style="width:0;height:1.5pt" o:hralign="center" o:hrstd="t" o:hr="t"/>
        </w:pict>
      </w:r>
    </w:p>
    <w:bookmarkEnd w:id="80"/>
    <w:bookmarkStart w:id="81"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81"/>
    <w:bookmarkStart w:id="82" w:name="Xfed9d69b88147d94e8bc0dfd5dae9f34760df84"/>
    <w:p>
      <w:pPr>
        <w:pStyle w:val="Heading2"/>
      </w:pPr>
      <w:r>
        <w:t xml:space="preserve">12. Simple CSW Talk Track</w:t>
      </w:r>
    </w:p>
    <w:p>
      <w:pPr>
        <w:pStyle w:val="FirstParagraph"/>
      </w:pPr>
      <w:r>
        <w:t xml:space="preserve">Use this flow in customer conversations:</w:t>
      </w:r>
    </w:p>
    <w:p>
      <w:pPr>
        <w:pStyle w:val="Compact"/>
        <w:numPr>
          <w:ilvl w:val="0"/>
          <w:numId w:val="1019"/>
        </w:numPr>
      </w:pPr>
      <w:r>
        <w:rPr>
          <w:b/>
          <w:bCs/>
        </w:rPr>
        <w:t xml:space="preserve">Start with the risk:</w:t>
      </w:r>
      <w:r>
        <w:t xml:space="preserve"> </w:t>
      </w:r>
      <w:r>
        <w:t xml:space="preserve">Attackers move laterally after initial compromise. Flat networks make that easier.</w:t>
      </w:r>
    </w:p>
    <w:p>
      <w:pPr>
        <w:pStyle w:val="Compact"/>
        <w:numPr>
          <w:ilvl w:val="0"/>
          <w:numId w:val="1019"/>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19"/>
        </w:numPr>
      </w:pPr>
      <w:r>
        <w:rPr>
          <w:b/>
          <w:bCs/>
        </w:rPr>
        <w:t xml:space="preserve">Position CSW:</w:t>
      </w:r>
      <w:r>
        <w:t xml:space="preserve"> </w:t>
      </w:r>
      <w:r>
        <w:t xml:space="preserve">CSW discovers dependencies first, then models policy, then enforces gradually.</w:t>
      </w:r>
    </w:p>
    <w:p>
      <w:pPr>
        <w:pStyle w:val="Compact"/>
        <w:numPr>
          <w:ilvl w:val="0"/>
          <w:numId w:val="1019"/>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19"/>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82"/>
    <w:bookmarkStart w:id="86" w:name="X79e47e825b80098b108f07de62e27975790b823"/>
    <w:p>
      <w:pPr>
        <w:pStyle w:val="Heading2"/>
      </w:pPr>
      <w:r>
        <w:t xml:space="preserve">13. Companion Repositories for Deeper Learning</w:t>
      </w:r>
    </w:p>
    <w:p>
      <w:pPr>
        <w:pStyle w:val="FirstParagraph"/>
      </w:pPr>
      <w:r>
        <w:t xml:space="preserve">This guide is the educational front door. Once a reader is comfortable with the concepts and the video library, the repositories below pick up where this guide ends. They are listed in the order most learners hit them: install agents, run the policy lifecycle, then map it all to compliance frameworks.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When you reach for it</w:t>
            </w:r>
          </w:p>
        </w:tc>
      </w:tr>
      <w:tr>
        <w:tc>
          <w:tcPr/>
          <w:p>
            <w:pPr>
              <w:pStyle w:val="Compact"/>
            </w:pPr>
            <w:hyperlink r:id="rId83">
              <w:r>
                <w:rPr>
                  <w:rStyle w:val="Hyperlink"/>
                </w:rPr>
                <w:t xml:space="preserve">chandrapati/CSW-Agent-Installation-Guide</w:t>
              </w:r>
            </w:hyperlink>
          </w:p>
        </w:tc>
        <w:tc>
          <w:tcPr/>
          <w:p>
            <w:pPr>
              <w:pStyle w:val="Compact"/>
            </w:pPr>
            <w:r>
              <w:t xml:space="preserve">Right after this guide, when it is time to actually install and operate the CSW host agent on Linux, Windows, cloud, container, or agentless workloads.</w:t>
            </w:r>
          </w:p>
        </w:tc>
      </w:tr>
      <w:tr>
        <w:tc>
          <w:tcPr/>
          <w:p>
            <w:pPr>
              <w:pStyle w:val="Compact"/>
            </w:pPr>
            <w:hyperlink r:id="rId84">
              <w:r>
                <w:rPr>
                  <w:rStyle w:val="Hyperlink"/>
                </w:rPr>
                <w:t xml:space="preserve">chandrapati/CSW-Policy-Lifecycle</w:t>
              </w:r>
            </w:hyperlink>
          </w:p>
        </w:tc>
        <w:tc>
          <w:tcPr/>
          <w:p>
            <w:pPr>
              <w:pStyle w:val="Compact"/>
            </w:pPr>
            <w:r>
              <w:t xml:space="preserve">When you move from "I understand policy" (covered here) to running the full lifecycle in a tenant: discovery (ADM) → analysis → enforcement (Monitor → Simulate → Enforce) → day-2 operations.</w:t>
            </w:r>
          </w:p>
        </w:tc>
      </w:tr>
      <w:tr>
        <w:tc>
          <w:tcPr/>
          <w:p>
            <w:pPr>
              <w:pStyle w:val="Compact"/>
            </w:pPr>
            <w:hyperlink r:id="rId13">
              <w:r>
                <w:rPr>
                  <w:rStyle w:val="Hyperlink"/>
                </w:rPr>
                <w:t xml:space="preserve">chandrapati/CSW-Compliance-Mapping</w:t>
              </w:r>
            </w:hyperlink>
          </w:p>
        </w:tc>
        <w:tc>
          <w:tcPr/>
          <w:p>
            <w:pPr>
              <w:pStyle w:val="Compact"/>
            </w:pPr>
            <w:r>
              <w:t xml:space="preserve">When a customer or auditor asks "how does CSW support framework X?" — covers HIPAA, SOC 2, PCI DSS v4, NIST 800-53, ISO 27001:2022, CISA ZTMM, FIPS 140, NIST 800-207/207A, DORA, NIS2, NERC CIP, TSA Pipeline, CIS Controls v8.1, NIST CSF 2.0, CMMC 2.0, and more.</w:t>
            </w:r>
          </w:p>
        </w:tc>
      </w:tr>
    </w:tbl>
    <w:p>
      <w:pPr>
        <w:pStyle w:val="BodyText"/>
      </w:pPr>
      <w:r>
        <w:t xml:space="preserve">For the full list of related Cisco Secure Workload repositories — including POV templates, blast-radius demo, tenant insights, and SE helpers — see the</w:t>
      </w:r>
      <w:r>
        <w:t xml:space="preserve"> </w:t>
      </w:r>
      <w:r>
        <w:rPr>
          <w:b/>
          <w:bCs/>
        </w:rPr>
        <w:t xml:space="preserve">Related Cisco Secure Workload Repositories</w:t>
      </w:r>
      <w:r>
        <w:t xml:space="preserve"> </w:t>
      </w:r>
      <w:r>
        <w:t xml:space="preserve">section in this repo's</w:t>
      </w:r>
      <w:r>
        <w:t xml:space="preserve"> </w:t>
      </w:r>
      <w:hyperlink r:id="rId85">
        <w:r>
          <w:rPr>
            <w:rStyle w:val="Hyperlink"/>
          </w:rPr>
          <w:t xml:space="preserve">README</w:t>
        </w:r>
      </w:hyperlink>
      <w:r>
        <w:t xml:space="preserve">.</w:t>
      </w:r>
    </w:p>
    <w:p>
      <w:r>
        <w:pict>
          <v:rect style="width:0;height:1.5pt" o:hralign="center" o:hrstd="t" o:hr="t"/>
        </w:pict>
      </w:r>
    </w:p>
    <w:bookmarkEnd w:id="86"/>
    <w:bookmarkStart w:id="87" w:name="X9d787da5f4507c4c8cca7b52a976cd3e73e44fc"/>
    <w:p>
      <w:pPr>
        <w:pStyle w:val="Heading2"/>
      </w:pPr>
      <w:r>
        <w:t xml:space="preserve">14. Open Items Before Publishing Final Version</w:t>
      </w:r>
    </w:p>
    <w:p>
      <w:pPr>
        <w:pStyle w:val="Compact"/>
        <w:numPr>
          <w:ilvl w:val="0"/>
          <w:numId w:val="1020"/>
        </w:numPr>
      </w:pPr>
      <w:r>
        <w:t xml:space="preserve">Confirm whether this repo should be public, private, or internal-only.</w:t>
      </w:r>
    </w:p>
    <w:p>
      <w:pPr>
        <w:pStyle w:val="Compact"/>
        <w:numPr>
          <w:ilvl w:val="0"/>
          <w:numId w:val="1020"/>
        </w:numPr>
      </w:pPr>
      <w:r>
        <w:t xml:space="preserve">Confirm whether customer-specific examples should be removed or kept generic.</w:t>
      </w:r>
    </w:p>
    <w:p>
      <w:pPr>
        <w:pStyle w:val="Compact"/>
        <w:numPr>
          <w:ilvl w:val="0"/>
          <w:numId w:val="1020"/>
        </w:numPr>
      </w:pPr>
      <w:r>
        <w:t xml:space="preserve">Add official Cisco documentation links for the final user education version.</w:t>
      </w:r>
    </w:p>
    <w:p>
      <w:pPr>
        <w:pStyle w:val="Compact"/>
        <w:numPr>
          <w:ilvl w:val="0"/>
          <w:numId w:val="1020"/>
        </w:numPr>
      </w:pPr>
      <w:r>
        <w:t xml:space="preserve">Validate current release-specific support matrices before presenting platform coverage.</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README.md#related-cisco-secure-workload-repositories" TargetMode="External" /><Relationship Type="http://schemas.openxmlformats.org/officeDocument/2006/relationships/hyperlink" Id="rId83" Target="https://github.com/chandrapati/CSW-Agent-Installation-Guide" TargetMode="External" /><Relationship Type="http://schemas.openxmlformats.org/officeDocument/2006/relationships/hyperlink" Id="rId13" Target="https://github.com/chandrapati/CSW-Compliance-Mapping" TargetMode="External" /><Relationship Type="http://schemas.openxmlformats.org/officeDocument/2006/relationships/hyperlink" Id="rId84" Target="https://github.com/chandrapati/CSW-Policy-Lifecycle" TargetMode="External" /><Relationship Type="http://schemas.openxmlformats.org/officeDocument/2006/relationships/hyperlink" Id="rId49" Target="https://secure.cisco.com/secure-workload/docs/secure-workload-whitepaper" TargetMode="External" /><Relationship Type="http://schemas.openxmlformats.org/officeDocument/2006/relationships/hyperlink" Id="rId48" Target="https://www.cisco.com/c/en/us/products/collateral/security/secure-workload/sec-workload-firewall-wp.html" TargetMode="External" /><Relationship Type="http://schemas.openxmlformats.org/officeDocument/2006/relationships/hyperlink" Id="rId60" Target="https://www.youtube.com/watch?v=0wsSA69ol0M" TargetMode="External" /><Relationship Type="http://schemas.openxmlformats.org/officeDocument/2006/relationships/hyperlink" Id="rId20" Target="https://www.youtube.com/watch?v=3KBmanCNm4U" TargetMode="External" /><Relationship Type="http://schemas.openxmlformats.org/officeDocument/2006/relationships/hyperlink" Id="rId24" Target="https://www.youtube.com/watch?v=4mFriUr4WHk" TargetMode="External" /><Relationship Type="http://schemas.openxmlformats.org/officeDocument/2006/relationships/hyperlink" Id="rId30" Target="https://www.youtube.com/watch?v=Aajlx7JT2G4" TargetMode="External" /><Relationship Type="http://schemas.openxmlformats.org/officeDocument/2006/relationships/hyperlink" Id="rId39" Target="https://www.youtube.com/watch?v=FTXsWtFUJZM" TargetMode="External" /><Relationship Type="http://schemas.openxmlformats.org/officeDocument/2006/relationships/hyperlink" Id="rId55" Target="https://www.youtube.com/watch?v=FUyESTLLZE8" TargetMode="External" /><Relationship Type="http://schemas.openxmlformats.org/officeDocument/2006/relationships/hyperlink" Id="rId27" Target="https://www.youtube.com/watch?v=HKT18Ylt4IY" TargetMode="External" /><Relationship Type="http://schemas.openxmlformats.org/officeDocument/2006/relationships/hyperlink" Id="rId51" Target="https://www.youtube.com/watch?v=HcF3yQHmeXc" TargetMode="External" /><Relationship Type="http://schemas.openxmlformats.org/officeDocument/2006/relationships/hyperlink" Id="rId29" Target="https://www.youtube.com/watch?v=Jzzblea25UA" TargetMode="External" /><Relationship Type="http://schemas.openxmlformats.org/officeDocument/2006/relationships/hyperlink" Id="rId56" Target="https://www.youtube.com/watch?v=KUJfuuhP1dc" TargetMode="External" /><Relationship Type="http://schemas.openxmlformats.org/officeDocument/2006/relationships/hyperlink" Id="rId25" Target="https://www.youtube.com/watch?v=LYHnU_QjKfI" TargetMode="External" /><Relationship Type="http://schemas.openxmlformats.org/officeDocument/2006/relationships/hyperlink" Id="rId21" Target="https://www.youtube.com/watch?v=NLoZq0wiTU8" TargetMode="External" /><Relationship Type="http://schemas.openxmlformats.org/officeDocument/2006/relationships/hyperlink" Id="rId38" Target="https://www.youtube.com/watch?v=RV7To1MF6Es" TargetMode="External" /><Relationship Type="http://schemas.openxmlformats.org/officeDocument/2006/relationships/hyperlink" Id="rId43" Target="https://www.youtube.com/watch?v=SFVjiPQFsYA" TargetMode="External" /><Relationship Type="http://schemas.openxmlformats.org/officeDocument/2006/relationships/hyperlink" Id="rId28" Target="https://www.youtube.com/watch?v=Tuw06kPjeyQ" TargetMode="External" /><Relationship Type="http://schemas.openxmlformats.org/officeDocument/2006/relationships/hyperlink" Id="rId33" Target="https://www.youtube.com/watch?v=UwUJnEMZoTk" TargetMode="External" /><Relationship Type="http://schemas.openxmlformats.org/officeDocument/2006/relationships/hyperlink" Id="rId47" Target="https://www.youtube.com/watch?v=X65mwN7kJGg&amp;t=53s" TargetMode="External" /><Relationship Type="http://schemas.openxmlformats.org/officeDocument/2006/relationships/hyperlink" Id="rId40" Target="https://www.youtube.com/watch?v=ZPBcj4e6M34" TargetMode="External" /><Relationship Type="http://schemas.openxmlformats.org/officeDocument/2006/relationships/hyperlink" Id="rId36" Target="https://www.youtube.com/watch?v=_faK3p9tN4A" TargetMode="External" /><Relationship Type="http://schemas.openxmlformats.org/officeDocument/2006/relationships/hyperlink" Id="rId52" Target="https://www.youtube.com/watch?v=aJZEcZtUXDg" TargetMode="External" /><Relationship Type="http://schemas.openxmlformats.org/officeDocument/2006/relationships/hyperlink" Id="rId50" Target="https://www.youtube.com/watch?v=dqbWhvFNsso&amp;t=90s" TargetMode="External" /><Relationship Type="http://schemas.openxmlformats.org/officeDocument/2006/relationships/hyperlink" Id="rId22" Target="https://www.youtube.com/watch?v=fJd6V15UiZM" TargetMode="External" /><Relationship Type="http://schemas.openxmlformats.org/officeDocument/2006/relationships/hyperlink" Id="rId54" Target="https://www.youtube.com/watch?v=gdhMWviAZig" TargetMode="External" /><Relationship Type="http://schemas.openxmlformats.org/officeDocument/2006/relationships/hyperlink" Id="rId62" Target="https://www.youtube.com/watch?v=h9PW25UhXKs" TargetMode="External" /><Relationship Type="http://schemas.openxmlformats.org/officeDocument/2006/relationships/hyperlink" Id="rId53" Target="https://www.youtube.com/watch?v=hD0WpBRLCiM" TargetMode="External" /><Relationship Type="http://schemas.openxmlformats.org/officeDocument/2006/relationships/hyperlink" Id="rId34" Target="https://www.youtube.com/watch?v=kvnAoT5ZYXl" TargetMode="External" /><Relationship Type="http://schemas.openxmlformats.org/officeDocument/2006/relationships/hyperlink" Id="rId37" Target="https://www.youtube.com/watch?v=l7LwZHXBYUA" TargetMode="External" /><Relationship Type="http://schemas.openxmlformats.org/officeDocument/2006/relationships/hyperlink" Id="rId42" Target="https://www.youtube.com/watch?v=pfv42g3FJEk" TargetMode="External" /><Relationship Type="http://schemas.openxmlformats.org/officeDocument/2006/relationships/hyperlink" Id="rId58" Target="https://www.youtube.com/watch?v=u7jh3Zw1hlg" TargetMode="External" /><Relationship Type="http://schemas.openxmlformats.org/officeDocument/2006/relationships/hyperlink" Id="rId31" Target="https://www.youtube.com/watch?v=uBxrJaVLHy4" TargetMode="External" /><Relationship Type="http://schemas.openxmlformats.org/officeDocument/2006/relationships/hyperlink" Id="rId46" Target="https://www.youtube.com/watch?v=xpbg3s0vrcI" TargetMode="External" /><Relationship Type="http://schemas.openxmlformats.org/officeDocument/2006/relationships/hyperlink" Id="rId57" Target="https://youtu.be/13AZ33dpCxU" TargetMode="External" /><Relationship Type="http://schemas.openxmlformats.org/officeDocument/2006/relationships/hyperlink" Id="rId59" Target="https://youtu.be/CRnkH9imTZk" TargetMode="External" /><Relationship Type="http://schemas.openxmlformats.org/officeDocument/2006/relationships/hyperlink" Id="rId45"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85" Target="../../README.md#related-cisco-secure-workload-repositories" TargetMode="External" /><Relationship Type="http://schemas.openxmlformats.org/officeDocument/2006/relationships/hyperlink" Id="rId83" Target="https://github.com/chandrapati/CSW-Agent-Installation-Guide" TargetMode="External" /><Relationship Type="http://schemas.openxmlformats.org/officeDocument/2006/relationships/hyperlink" Id="rId13" Target="https://github.com/chandrapati/CSW-Compliance-Mapping" TargetMode="External" /><Relationship Type="http://schemas.openxmlformats.org/officeDocument/2006/relationships/hyperlink" Id="rId84" Target="https://github.com/chandrapati/CSW-Policy-Lifecycle" TargetMode="External" /><Relationship Type="http://schemas.openxmlformats.org/officeDocument/2006/relationships/hyperlink" Id="rId49" Target="https://secure.cisco.com/secure-workload/docs/secure-workload-whitepaper" TargetMode="External" /><Relationship Type="http://schemas.openxmlformats.org/officeDocument/2006/relationships/hyperlink" Id="rId48" Target="https://www.cisco.com/c/en/us/products/collateral/security/secure-workload/sec-workload-firewall-wp.html" TargetMode="External" /><Relationship Type="http://schemas.openxmlformats.org/officeDocument/2006/relationships/hyperlink" Id="rId60" Target="https://www.youtube.com/watch?v=0wsSA69ol0M" TargetMode="External" /><Relationship Type="http://schemas.openxmlformats.org/officeDocument/2006/relationships/hyperlink" Id="rId20" Target="https://www.youtube.com/watch?v=3KBmanCNm4U" TargetMode="External" /><Relationship Type="http://schemas.openxmlformats.org/officeDocument/2006/relationships/hyperlink" Id="rId24" Target="https://www.youtube.com/watch?v=4mFriUr4WHk" TargetMode="External" /><Relationship Type="http://schemas.openxmlformats.org/officeDocument/2006/relationships/hyperlink" Id="rId30" Target="https://www.youtube.com/watch?v=Aajlx7JT2G4" TargetMode="External" /><Relationship Type="http://schemas.openxmlformats.org/officeDocument/2006/relationships/hyperlink" Id="rId39" Target="https://www.youtube.com/watch?v=FTXsWtFUJZM" TargetMode="External" /><Relationship Type="http://schemas.openxmlformats.org/officeDocument/2006/relationships/hyperlink" Id="rId55" Target="https://www.youtube.com/watch?v=FUyESTLLZE8" TargetMode="External" /><Relationship Type="http://schemas.openxmlformats.org/officeDocument/2006/relationships/hyperlink" Id="rId27" Target="https://www.youtube.com/watch?v=HKT18Ylt4IY" TargetMode="External" /><Relationship Type="http://schemas.openxmlformats.org/officeDocument/2006/relationships/hyperlink" Id="rId51" Target="https://www.youtube.com/watch?v=HcF3yQHmeXc" TargetMode="External" /><Relationship Type="http://schemas.openxmlformats.org/officeDocument/2006/relationships/hyperlink" Id="rId29" Target="https://www.youtube.com/watch?v=Jzzblea25UA" TargetMode="External" /><Relationship Type="http://schemas.openxmlformats.org/officeDocument/2006/relationships/hyperlink" Id="rId56" Target="https://www.youtube.com/watch?v=KUJfuuhP1dc" TargetMode="External" /><Relationship Type="http://schemas.openxmlformats.org/officeDocument/2006/relationships/hyperlink" Id="rId25" Target="https://www.youtube.com/watch?v=LYHnU_QjKfI" TargetMode="External" /><Relationship Type="http://schemas.openxmlformats.org/officeDocument/2006/relationships/hyperlink" Id="rId21" Target="https://www.youtube.com/watch?v=NLoZq0wiTU8" TargetMode="External" /><Relationship Type="http://schemas.openxmlformats.org/officeDocument/2006/relationships/hyperlink" Id="rId38" Target="https://www.youtube.com/watch?v=RV7To1MF6Es" TargetMode="External" /><Relationship Type="http://schemas.openxmlformats.org/officeDocument/2006/relationships/hyperlink" Id="rId43" Target="https://www.youtube.com/watch?v=SFVjiPQFsYA" TargetMode="External" /><Relationship Type="http://schemas.openxmlformats.org/officeDocument/2006/relationships/hyperlink" Id="rId28" Target="https://www.youtube.com/watch?v=Tuw06kPjeyQ" TargetMode="External" /><Relationship Type="http://schemas.openxmlformats.org/officeDocument/2006/relationships/hyperlink" Id="rId33" Target="https://www.youtube.com/watch?v=UwUJnEMZoTk" TargetMode="External" /><Relationship Type="http://schemas.openxmlformats.org/officeDocument/2006/relationships/hyperlink" Id="rId47" Target="https://www.youtube.com/watch?v=X65mwN7kJGg&amp;t=53s" TargetMode="External" /><Relationship Type="http://schemas.openxmlformats.org/officeDocument/2006/relationships/hyperlink" Id="rId40" Target="https://www.youtube.com/watch?v=ZPBcj4e6M34" TargetMode="External" /><Relationship Type="http://schemas.openxmlformats.org/officeDocument/2006/relationships/hyperlink" Id="rId36" Target="https://www.youtube.com/watch?v=_faK3p9tN4A" TargetMode="External" /><Relationship Type="http://schemas.openxmlformats.org/officeDocument/2006/relationships/hyperlink" Id="rId52" Target="https://www.youtube.com/watch?v=aJZEcZtUXDg" TargetMode="External" /><Relationship Type="http://schemas.openxmlformats.org/officeDocument/2006/relationships/hyperlink" Id="rId50" Target="https://www.youtube.com/watch?v=dqbWhvFNsso&amp;t=90s" TargetMode="External" /><Relationship Type="http://schemas.openxmlformats.org/officeDocument/2006/relationships/hyperlink" Id="rId22" Target="https://www.youtube.com/watch?v=fJd6V15UiZM" TargetMode="External" /><Relationship Type="http://schemas.openxmlformats.org/officeDocument/2006/relationships/hyperlink" Id="rId54" Target="https://www.youtube.com/watch?v=gdhMWviAZig" TargetMode="External" /><Relationship Type="http://schemas.openxmlformats.org/officeDocument/2006/relationships/hyperlink" Id="rId62" Target="https://www.youtube.com/watch?v=h9PW25UhXKs" TargetMode="External" /><Relationship Type="http://schemas.openxmlformats.org/officeDocument/2006/relationships/hyperlink" Id="rId53" Target="https://www.youtube.com/watch?v=hD0WpBRLCiM" TargetMode="External" /><Relationship Type="http://schemas.openxmlformats.org/officeDocument/2006/relationships/hyperlink" Id="rId34" Target="https://www.youtube.com/watch?v=kvnAoT5ZYXl" TargetMode="External" /><Relationship Type="http://schemas.openxmlformats.org/officeDocument/2006/relationships/hyperlink" Id="rId37" Target="https://www.youtube.com/watch?v=l7LwZHXBYUA" TargetMode="External" /><Relationship Type="http://schemas.openxmlformats.org/officeDocument/2006/relationships/hyperlink" Id="rId42" Target="https://www.youtube.com/watch?v=pfv42g3FJEk" TargetMode="External" /><Relationship Type="http://schemas.openxmlformats.org/officeDocument/2006/relationships/hyperlink" Id="rId58" Target="https://www.youtube.com/watch?v=u7jh3Zw1hlg" TargetMode="External" /><Relationship Type="http://schemas.openxmlformats.org/officeDocument/2006/relationships/hyperlink" Id="rId31" Target="https://www.youtube.com/watch?v=uBxrJaVLHy4" TargetMode="External" /><Relationship Type="http://schemas.openxmlformats.org/officeDocument/2006/relationships/hyperlink" Id="rId46" Target="https://www.youtube.com/watch?v=xpbg3s0vrcI" TargetMode="External" /><Relationship Type="http://schemas.openxmlformats.org/officeDocument/2006/relationships/hyperlink" Id="rId57" Target="https://youtu.be/13AZ33dpCxU" TargetMode="External" /><Relationship Type="http://schemas.openxmlformats.org/officeDocument/2006/relationships/hyperlink" Id="rId59" Target="https://youtu.be/CRnkH9imTZk" TargetMode="External" /><Relationship Type="http://schemas.openxmlformats.org/officeDocument/2006/relationships/hyperlink" Id="rId45"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2026-05-22T14:41:55Z</dcterms:created>
  <dcterms:modified xsi:type="dcterms:W3CDTF">2026-05-22T14:41:55Z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