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9"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lockText"/>
      </w:pPr>
      <w:r>
        <w:rPr>
          <w:b/>
          <w:bCs/>
        </w:rPr>
        <w:t xml:space="preserve">Disclaimer:</w:t>
      </w:r>
      <w:r>
        <w:t xml:space="preserve"> </w:t>
      </w:r>
      <w:r>
        <w:t xml:space="preserve">This guide is</w:t>
      </w:r>
      <w:r>
        <w:t xml:space="preserve"> </w:t>
      </w:r>
      <w:r>
        <w:rPr>
          <w:b/>
          <w:bCs/>
        </w:rPr>
        <w:t xml:space="preserve">not</w:t>
      </w:r>
      <w:r>
        <w:t xml:space="preserve"> </w:t>
      </w:r>
      <w:r>
        <w:t xml:space="preserve">official Cisco product documentation. It is companion learning material for customer and partner education. Validate all design, scope, and feature support against your tenant's in-product documentation and Cisco product documentation before production use.</w:t>
      </w:r>
    </w:p>
    <w:p>
      <w:pPr>
        <w:pStyle w:val="FirstParagraph"/>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1"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bookmarkStart w:id="10" w:name="X19c494ce018b7a65ec4b390853f875c213f86aa"/>
    <w:p>
      <w:pPr>
        <w:pStyle w:val="Heading3"/>
      </w:pPr>
      <w:r>
        <w:t xml:space="preserve">1.1 Micro-segmentation is a journey</w:t>
      </w:r>
    </w:p>
    <w:p>
      <w:pPr>
        <w:pStyle w:val="FirstParagraph"/>
      </w:pPr>
      <w:r>
        <w:t xml:space="preserve">Micro-segmentation is</w:t>
      </w:r>
      <w:r>
        <w:t xml:space="preserve"> </w:t>
      </w:r>
      <w:r>
        <w:rPr>
          <w:b/>
          <w:bCs/>
        </w:rPr>
        <w:t xml:space="preserve">not</w:t>
      </w:r>
      <w:r>
        <w:t xml:space="preserve"> </w:t>
      </w:r>
      <w:r>
        <w:t xml:space="preserve">something you create once and forget. Applications change — new microservices, refactors, cloud moves, patches, and integrations all shift real dependencies. Policy must stay aligned with that change or you either block legitimate traffic or slowly reopen paths you thought were closed.</w:t>
      </w:r>
    </w:p>
    <w:p>
      <w:pPr>
        <w:pStyle w:val="BodyText"/>
      </w:pPr>
      <w:r>
        <w:t xml:space="preserve">CSW supports an ongoing program, not a one-off cutover:</w:t>
      </w:r>
    </w:p>
    <w:p>
      <w:pPr>
        <w:pStyle w:val="Compact"/>
        <w:numPr>
          <w:ilvl w:val="0"/>
          <w:numId w:val="1002"/>
        </w:numPr>
      </w:pPr>
      <w:r>
        <w:rPr>
          <w:b/>
          <w:bCs/>
        </w:rPr>
        <w:t xml:space="preserve">Keep seeing the truth</w:t>
      </w:r>
      <w:r>
        <w:t xml:space="preserve"> </w:t>
      </w:r>
      <w:r>
        <w:t xml:space="preserve">— continuous flow and process telemetry (where enabled) so dependency maps reflect production, not a point-in-time snapshot.</w:t>
      </w:r>
    </w:p>
    <w:p>
      <w:pPr>
        <w:pStyle w:val="Compact"/>
        <w:numPr>
          <w:ilvl w:val="0"/>
          <w:numId w:val="1002"/>
        </w:numPr>
      </w:pPr>
      <w:r>
        <w:rPr>
          <w:b/>
          <w:bCs/>
        </w:rPr>
        <w:t xml:space="preserve">Catch drift early</w:t>
      </w:r>
      <w:r>
        <w:t xml:space="preserve"> </w:t>
      </w:r>
      <w:r>
        <w:t xml:space="preserve">— monitor and simulation modes highlight new conversations before enforcement surprises an app owner.</w:t>
      </w:r>
    </w:p>
    <w:p>
      <w:pPr>
        <w:pStyle w:val="Compact"/>
        <w:numPr>
          <w:ilvl w:val="0"/>
          <w:numId w:val="1002"/>
        </w:numPr>
      </w:pPr>
      <w:r>
        <w:rPr>
          <w:b/>
          <w:bCs/>
        </w:rPr>
        <w:t xml:space="preserve">Adapt policy deliberately</w:t>
      </w:r>
      <w:r>
        <w:t xml:space="preserve"> </w:t>
      </w:r>
      <w:r>
        <w:t xml:space="preserve">— ADM, labels, scopes, and modeling workflows exist to update allow rules when the business legitimately changes; vulnerability and forensics layers tighten or investigate when risk changes.</w:t>
      </w:r>
    </w:p>
    <w:p>
      <w:pPr>
        <w:pStyle w:val="Compact"/>
        <w:numPr>
          <w:ilvl w:val="0"/>
          <w:numId w:val="1002"/>
        </w:numPr>
      </w:pPr>
      <w:r>
        <w:rPr>
          <w:b/>
          <w:bCs/>
        </w:rPr>
        <w:t xml:space="preserve">Operate for the long run</w:t>
      </w:r>
      <w:r>
        <w:t xml:space="preserve"> </w:t>
      </w:r>
      <w:r>
        <w:t xml:space="preserve">— change control, app-owner signoff, label sync from CMDB/cloud tags, API/CI/CD automation, and drift checks (see § 6.7 and § 8 Phase 8) are how teams sustain segmentation after the POV ends.</w:t>
      </w:r>
    </w:p>
    <w:p>
      <w:pPr>
        <w:pStyle w:val="FirstParagraph"/>
      </w:pPr>
      <w:r>
        <w:t xml:space="preserve">The phased roadmap in § 5 is a</w:t>
      </w:r>
      <w:r>
        <w:t xml:space="preserve"> </w:t>
      </w:r>
      <w:r>
        <w:rPr>
          <w:b/>
          <w:bCs/>
        </w:rPr>
        <w:t xml:space="preserve">on-ramp</w:t>
      </w:r>
      <w:r>
        <w:t xml:space="preserve">. Phases 4–5 and day-2 operational practices are where journey-minded teams live after initial enforcement.</w:t>
      </w:r>
    </w:p>
    <w:p>
      <w:r>
        <w:pict>
          <v:rect style="width:0;height:1.5pt" o:hralign="center" o:hrstd="t" o:hr="t"/>
        </w:pict>
      </w:r>
    </w:p>
    <w:bookmarkEnd w:id="10"/>
    <w:bookmarkEnd w:id="11"/>
    <w:bookmarkStart w:id="16"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2"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3"/>
        </w:numPr>
      </w:pPr>
      <w:r>
        <w:rPr>
          <w:b/>
          <w:bCs/>
        </w:rPr>
        <w:t xml:space="preserve">Land on one workload</w:t>
      </w:r>
      <w:r>
        <w:t xml:space="preserve"> </w:t>
      </w:r>
      <w:r>
        <w:t xml:space="preserve">— phishing, exposed RDP / SSH, exploited service, supply chain.</w:t>
      </w:r>
    </w:p>
    <w:p>
      <w:pPr>
        <w:pStyle w:val="Compact"/>
        <w:numPr>
          <w:ilvl w:val="0"/>
          <w:numId w:val="1003"/>
        </w:numPr>
      </w:pPr>
      <w:r>
        <w:rPr>
          <w:b/>
          <w:bCs/>
        </w:rPr>
        <w:t xml:space="preserve">Discover the internal network</w:t>
      </w:r>
      <w:r>
        <w:t xml:space="preserve"> </w:t>
      </w:r>
      <w:r>
        <w:t xml:space="preserve">— port scans, SMB enumeration, Active Directory reconnaissance.</w:t>
      </w:r>
    </w:p>
    <w:p>
      <w:pPr>
        <w:pStyle w:val="Compact"/>
        <w:numPr>
          <w:ilvl w:val="0"/>
          <w:numId w:val="1003"/>
        </w:numPr>
      </w:pPr>
      <w:r>
        <w:rPr>
          <w:b/>
          <w:bCs/>
        </w:rPr>
        <w:t xml:space="preserve">Steal credentials</w:t>
      </w:r>
      <w:r>
        <w:t xml:space="preserve"> </w:t>
      </w:r>
      <w:r>
        <w:t xml:space="preserve">— Mimikatz, LSASS dumps, Kerberoasting.</w:t>
      </w:r>
    </w:p>
    <w:p>
      <w:pPr>
        <w:pStyle w:val="Compact"/>
        <w:numPr>
          <w:ilvl w:val="0"/>
          <w:numId w:val="1003"/>
        </w:numPr>
      </w:pPr>
      <w:r>
        <w:rPr>
          <w:b/>
          <w:bCs/>
        </w:rPr>
        <w:t xml:space="preserve">Move laterally</w:t>
      </w:r>
      <w:r>
        <w:t xml:space="preserve"> </w:t>
      </w:r>
      <w:r>
        <w:t xml:space="preserve">— RDP, SMB, WinRM, WMI, PsExec, SSH, RPC, and other lateral admin tools.</w:t>
      </w:r>
    </w:p>
    <w:p>
      <w:pPr>
        <w:pStyle w:val="Compact"/>
        <w:numPr>
          <w:ilvl w:val="0"/>
          <w:numId w:val="1003"/>
        </w:numPr>
      </w:pPr>
      <w:r>
        <w:rPr>
          <w:b/>
          <w:bCs/>
        </w:rPr>
        <w:t xml:space="preserve">Escalate to high-value targets</w:t>
      </w:r>
      <w:r>
        <w:t xml:space="preserve"> </w:t>
      </w:r>
      <w:r>
        <w:t xml:space="preserve">— domain controllers, backup servers, file servers, databases, hypervisors.</w:t>
      </w:r>
    </w:p>
    <w:p>
      <w:pPr>
        <w:pStyle w:val="Compact"/>
        <w:numPr>
          <w:ilvl w:val="0"/>
          <w:numId w:val="1003"/>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2"/>
    <w:bookmarkStart w:id="13"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4"/>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4"/>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4"/>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4"/>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3"/>
    <w:bookmarkStart w:id="15" w:name="Xf5adb5257dc22157f69a2cf0d0c3c3b107bfbd8"/>
    <w:p>
      <w:pPr>
        <w:pStyle w:val="Heading3"/>
      </w:pPr>
      <w:r>
        <w:t xml:space="preserve">2.3 Why We Need It</w:t>
      </w:r>
    </w:p>
    <w:p>
      <w:pPr>
        <w:pStyle w:val="Compact"/>
        <w:numPr>
          <w:ilvl w:val="0"/>
          <w:numId w:val="1005"/>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5"/>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5"/>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5"/>
        </w:numPr>
      </w:pPr>
      <w:r>
        <w:rPr>
          <w:b/>
          <w:bCs/>
        </w:rPr>
        <w:t xml:space="preserve">Compliance and audit demand it.</w:t>
      </w:r>
      <w:r>
        <w:t xml:space="preserve"> </w:t>
      </w:r>
      <w:r>
        <w:t xml:space="preserve">PCI, HIPAA, SOX, and most internal security frameworks expect documented segmentation between regulated and non-regulated systems. For framework-by-framework mappings — customer-facing reports and matching SA / SE technical runbooks across HIPAA, SOC 2, PCI DSS v4, NIST 800-53, ISO 27001:2022, CISA ZTMM, FIPS 140, NIST 800-207 / 207A, DORA, NIS2, NERC CIP, TSA Pipeline, CIS Controls v8.1, NIST CSF 2.0, CMMC 2.0, and more — see the companion repository:</w:t>
      </w:r>
      <w:r>
        <w:t xml:space="preserve"> </w:t>
      </w:r>
      <w:hyperlink r:id="rId14">
        <w:r>
          <w:rPr>
            <w:rStyle w:val="Hyperlink"/>
            <w:b/>
            <w:bCs/>
          </w:rPr>
          <w:t xml:space="preserve">chandrapati/CSW-Compliance-Mapping</w:t>
        </w:r>
      </w:hyperlink>
      <w:r>
        <w:t xml:space="preserve">. Use it whenever a customer asks "how does CSW map to</w:t>
      </w:r>
      <w:r>
        <w:t xml:space="preserve"> </w:t>
      </w:r>
      <w:r>
        <w:rPr>
          <w:i/>
          <w:iCs/>
        </w:rPr>
        <w:t xml:space="preserve">&lt;framework&gt;</w:t>
      </w:r>
      <w:r>
        <w:t xml:space="preserve">?".</w:t>
      </w:r>
    </w:p>
    <w:p>
      <w:pPr>
        <w:pStyle w:val="Compact"/>
        <w:numPr>
          <w:ilvl w:val="0"/>
          <w:numId w:val="1005"/>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5"/>
    <w:bookmarkEnd w:id="16"/>
    <w:bookmarkStart w:id="17"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6"/>
        </w:numPr>
      </w:pPr>
      <w:r>
        <w:t xml:space="preserve">Discover application dependencies before enforcing policy.</w:t>
      </w:r>
    </w:p>
    <w:p>
      <w:pPr>
        <w:pStyle w:val="Compact"/>
        <w:numPr>
          <w:ilvl w:val="0"/>
          <w:numId w:val="1006"/>
        </w:numPr>
      </w:pPr>
      <w:r>
        <w:t xml:space="preserve">Build policies based on labels and application intent, not only IP addresses.</w:t>
      </w:r>
    </w:p>
    <w:p>
      <w:pPr>
        <w:pStyle w:val="Compact"/>
        <w:numPr>
          <w:ilvl w:val="0"/>
          <w:numId w:val="1006"/>
        </w:numPr>
      </w:pPr>
      <w:r>
        <w:t xml:space="preserve">Protect high-value or vulnerable applications with tighter controls.</w:t>
      </w:r>
    </w:p>
    <w:p>
      <w:pPr>
        <w:pStyle w:val="Compact"/>
        <w:numPr>
          <w:ilvl w:val="0"/>
          <w:numId w:val="1006"/>
        </w:numPr>
      </w:pPr>
      <w:r>
        <w:t xml:space="preserve">Align policy with CMDB data, cloud tags, application ownership, and observed behavior.</w:t>
      </w:r>
    </w:p>
    <w:p>
      <w:pPr>
        <w:pStyle w:val="Compact"/>
        <w:numPr>
          <w:ilvl w:val="0"/>
          <w:numId w:val="1006"/>
        </w:numPr>
      </w:pPr>
      <w:r>
        <w:t xml:space="preserve">Roll out segmentation in phases, starting with visibility and policy modeling.</w:t>
      </w:r>
    </w:p>
    <w:p>
      <w:pPr>
        <w:pStyle w:val="Compact"/>
        <w:numPr>
          <w:ilvl w:val="0"/>
          <w:numId w:val="1006"/>
        </w:numPr>
      </w:pPr>
      <w:r>
        <w:t xml:space="preserve">Produce evidence for security, audit, and architecture teams.</w:t>
      </w:r>
    </w:p>
    <w:p>
      <w:r>
        <w:pict>
          <v:rect style="width:0;height:1.5pt" o:hralign="center" o:hrstd="t" o:hr="t"/>
        </w:pict>
      </w:r>
    </w:p>
    <w:bookmarkEnd w:id="17"/>
    <w:bookmarkStart w:id="18"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8"/>
    <w:bookmarkStart w:id="20"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 and should keep operating there, because applications and policy both keep changing (see § 1.1).</w:t>
      </w:r>
    </w:p>
    <w:bookmarkStart w:id="19" w:name="mapping-phases-to-videos-in-the-catalog"/>
    <w:p>
      <w:pPr>
        <w:pStyle w:val="Heading3"/>
      </w:pPr>
      <w:r>
        <w:t xml:space="preserve">Mapping phases to videos in the catalog</w:t>
      </w:r>
    </w:p>
    <w:p>
      <w:pPr>
        <w:pStyle w:val="Compact"/>
        <w:numPr>
          <w:ilvl w:val="0"/>
          <w:numId w:val="1007"/>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7"/>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7"/>
        </w:numPr>
      </w:pPr>
      <w:r>
        <w:rPr>
          <w:b/>
          <w:bCs/>
        </w:rPr>
        <w:t xml:space="preserve">Phase 3 — ADM + App-Scope Micro:</w:t>
      </w:r>
      <w:r>
        <w:t xml:space="preserve"> </w:t>
      </w:r>
      <w:r>
        <w:t xml:space="preserve">Application Dependency Mapping &amp; Policy Analysis (#7), Policy Visual and Quick Analysis (#8), Dynamic Workloads &amp; Policy (#9), AI-Driven Policy Suggestions (#33), Policy Statistics with AI Engine (#34).</w:t>
      </w:r>
    </w:p>
    <w:p>
      <w:pPr>
        <w:pStyle w:val="Compact"/>
        <w:numPr>
          <w:ilvl w:val="0"/>
          <w:numId w:val="1007"/>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7"/>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9"/>
    <w:bookmarkEnd w:id="20"/>
    <w:bookmarkStart w:id="66" w:name="X34388d678d45029f6ea868320ccc3fef24f0f73"/>
    <w:p>
      <w:pPr>
        <w:pStyle w:val="Heading2"/>
      </w:pPr>
      <w:r>
        <w:t xml:space="preserve">6. CSW Video Library (Learning Path Order)</w:t>
      </w:r>
    </w:p>
    <w:p>
      <w:pPr>
        <w:pStyle w:val="FirstParagraph"/>
      </w:pPr>
      <w:r>
        <w:t xml:space="preserve">Videos are listed in the order that builds CSW skills fastest — not grouped by product theme.</w:t>
      </w:r>
      <w:r>
        <w:t xml:space="preserve"> </w:t>
      </w:r>
      <w:r>
        <w:rPr>
          <w:b/>
          <w:bCs/>
        </w:rPr>
        <w:t xml:space="preserve">Watch top to bottom</w:t>
      </w:r>
      <w:r>
        <w:t xml:space="preserve"> </w:t>
      </w:r>
      <w:r>
        <w:t xml:space="preserve">within each module. The</w:t>
      </w:r>
      <w:r>
        <w:t xml:space="preserve"> </w:t>
      </w:r>
      <w:r>
        <w:rPr>
          <w:b/>
          <w:bCs/>
        </w:rPr>
        <w:t xml:space="preserve">Catalog #</w:t>
      </w:r>
      <w:r>
        <w:t xml:space="preserve"> </w:t>
      </w:r>
      <w:r>
        <w:t xml:space="preserve">column matches the original Cisco slide numbering (used in § 5 phase mappings).</w:t>
      </w:r>
    </w:p>
    <w:bookmarkStart w:id="24" w:name="X79c14ae92492dca098785b61112f093e8b83cc5"/>
    <w:p>
      <w:pPr>
        <w:pStyle w:val="Heading3"/>
      </w:pPr>
      <w:r>
        <w:t xml:space="preserve">6.1 Module 1 — Foundations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w:t>
            </w:r>
          </w:p>
        </w:tc>
        <w:tc>
          <w:tcPr/>
          <w:p>
            <w:pPr>
              <w:pStyle w:val="Compact"/>
              <w:jc w:val="right"/>
            </w:pPr>
            <w:r>
              <w:t xml:space="preserve">3</w:t>
            </w:r>
          </w:p>
        </w:tc>
        <w:tc>
          <w:tcPr/>
          <w:p>
            <w:pPr>
              <w:pStyle w:val="Compact"/>
            </w:pPr>
            <w:r>
              <w:t xml:space="preserve">Scopes</w:t>
            </w:r>
          </w:p>
        </w:tc>
        <w:tc>
          <w:tcPr/>
          <w:p>
            <w:pPr>
              <w:pStyle w:val="Compact"/>
            </w:pPr>
            <w:r>
              <w:t xml:space="preserve">Group workloads logically for policy.</w:t>
            </w:r>
          </w:p>
        </w:tc>
        <w:tc>
          <w:tcPr/>
          <w:p>
            <w:pPr>
              <w:pStyle w:val="Compact"/>
              <w:jc w:val="center"/>
            </w:pPr>
            <w:hyperlink r:id="rId21">
              <w:r>
                <w:rPr>
                  <w:rStyle w:val="Hyperlink"/>
                </w:rPr>
                <w:t xml:space="preserve">Watch</w:t>
              </w:r>
            </w:hyperlink>
          </w:p>
        </w:tc>
      </w:tr>
      <w:tr>
        <w:tc>
          <w:tcPr/>
          <w:p>
            <w:pPr>
              <w:pStyle w:val="Compact"/>
              <w:jc w:val="center"/>
            </w:pPr>
            <w:r>
              <w:t xml:space="preserve">2</w:t>
            </w:r>
          </w:p>
        </w:tc>
        <w:tc>
          <w:tcPr/>
          <w:p>
            <w:pPr>
              <w:pStyle w:val="Compact"/>
              <w:jc w:val="right"/>
            </w:pPr>
            <w:r>
              <w:t xml:space="preserve">4</w:t>
            </w:r>
          </w:p>
        </w:tc>
        <w:tc>
          <w:tcPr/>
          <w:p>
            <w:pPr>
              <w:pStyle w:val="Compact"/>
            </w:pPr>
            <w:r>
              <w:t xml:space="preserve">Labels</w:t>
            </w:r>
          </w:p>
        </w:tc>
        <w:tc>
          <w:tcPr/>
          <w:p>
            <w:pPr>
              <w:pStyle w:val="Compact"/>
            </w:pPr>
            <w:r>
              <w:t xml:space="preserve">Tag workloads for policy and visibility.</w:t>
            </w:r>
          </w:p>
        </w:tc>
        <w:tc>
          <w:tcPr/>
          <w:p>
            <w:pPr>
              <w:pStyle w:val="Compact"/>
              <w:jc w:val="center"/>
            </w:pPr>
            <w:hyperlink r:id="rId22">
              <w:r>
                <w:rPr>
                  <w:rStyle w:val="Hyperlink"/>
                </w:rPr>
                <w:t xml:space="preserve">Watch</w:t>
              </w:r>
            </w:hyperlink>
          </w:p>
        </w:tc>
      </w:tr>
      <w:tr>
        <w:tc>
          <w:tcPr/>
          <w:p>
            <w:pPr>
              <w:pStyle w:val="Compact"/>
              <w:jc w:val="center"/>
            </w:pPr>
            <w:r>
              <w:t xml:space="preserve">3</w:t>
            </w:r>
          </w:p>
        </w:tc>
        <w:tc>
          <w:tcPr/>
          <w:p>
            <w:pPr>
              <w:pStyle w:val="Compact"/>
              <w:jc w:val="right"/>
            </w:pPr>
            <w:r>
              <w:t xml:space="preserve">5</w:t>
            </w:r>
          </w:p>
        </w:tc>
        <w:tc>
          <w:tcPr/>
          <w:p>
            <w:pPr>
              <w:pStyle w:val="Compact"/>
            </w:pPr>
            <w:r>
              <w:t xml:space="preserve">Inventory Filters</w:t>
            </w:r>
          </w:p>
        </w:tc>
        <w:tc>
          <w:tcPr/>
          <w:p>
            <w:pPr>
              <w:pStyle w:val="Compact"/>
            </w:pPr>
            <w:r>
              <w:t xml:space="preserve">Focus inventory on specific workload groups.</w:t>
            </w:r>
          </w:p>
        </w:tc>
        <w:tc>
          <w:tcPr/>
          <w:p>
            <w:pPr>
              <w:pStyle w:val="Compact"/>
              <w:jc w:val="center"/>
            </w:pPr>
            <w:hyperlink r:id="rId23">
              <w:r>
                <w:rPr>
                  <w:rStyle w:val="Hyperlink"/>
                </w:rPr>
                <w:t xml:space="preserve">Watch</w:t>
              </w:r>
            </w:hyperlink>
          </w:p>
        </w:tc>
      </w:tr>
    </w:tbl>
    <w:bookmarkEnd w:id="24"/>
    <w:bookmarkStart w:id="28" w:name="X27b0b3246bd0221bf109cd41cf29e8955f4a5a1"/>
    <w:p>
      <w:pPr>
        <w:pStyle w:val="Heading3"/>
      </w:pPr>
      <w:r>
        <w:t xml:space="preserve">6.2 Module 2 — Agent deployment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4</w:t>
            </w:r>
          </w:p>
        </w:tc>
        <w:tc>
          <w:tcPr/>
          <w:p>
            <w:pPr>
              <w:pStyle w:val="Compact"/>
              <w:jc w:val="right"/>
            </w:pPr>
            <w:r>
              <w:t xml:space="preserve">1</w:t>
            </w:r>
          </w:p>
        </w:tc>
        <w:tc>
          <w:tcPr/>
          <w:p>
            <w:pPr>
              <w:pStyle w:val="Compact"/>
            </w:pPr>
            <w:r>
              <w:t xml:space="preserve">Agent Configuration Profile</w:t>
            </w:r>
          </w:p>
        </w:tc>
        <w:tc>
          <w:tcPr/>
          <w:p>
            <w:pPr>
              <w:pStyle w:val="Compact"/>
            </w:pPr>
            <w:r>
              <w:t xml:space="preserve">Configure agent profiles for enforcement.</w:t>
            </w:r>
          </w:p>
        </w:tc>
        <w:tc>
          <w:tcPr/>
          <w:p>
            <w:pPr>
              <w:pStyle w:val="Compact"/>
              <w:jc w:val="center"/>
            </w:pPr>
            <w:hyperlink r:id="rId25">
              <w:r>
                <w:rPr>
                  <w:rStyle w:val="Hyperlink"/>
                </w:rPr>
                <w:t xml:space="preserve">Watch</w:t>
              </w:r>
            </w:hyperlink>
          </w:p>
        </w:tc>
      </w:tr>
      <w:tr>
        <w:tc>
          <w:tcPr/>
          <w:p>
            <w:pPr>
              <w:pStyle w:val="Compact"/>
              <w:jc w:val="center"/>
            </w:pPr>
            <w:r>
              <w:t xml:space="preserve">5</w:t>
            </w:r>
          </w:p>
        </w:tc>
        <w:tc>
          <w:tcPr/>
          <w:p>
            <w:pPr>
              <w:pStyle w:val="Compact"/>
              <w:jc w:val="right"/>
            </w:pPr>
            <w:r>
              <w:t xml:space="preserve">2</w:t>
            </w:r>
          </w:p>
        </w:tc>
        <w:tc>
          <w:tcPr/>
          <w:p>
            <w:pPr>
              <w:pStyle w:val="Compact"/>
            </w:pPr>
            <w:r>
              <w:t xml:space="preserve">Golden Image VDI</w:t>
            </w:r>
          </w:p>
        </w:tc>
        <w:tc>
          <w:tcPr/>
          <w:p>
            <w:pPr>
              <w:pStyle w:val="Compact"/>
            </w:pPr>
            <w:r>
              <w:t xml:space="preserve">VDI golden-image agent deployment.</w:t>
            </w:r>
            <w:r>
              <w:t xml:space="preserve"> </w:t>
            </w:r>
            <w:r>
              <w:rPr>
                <w:i/>
                <w:iCs/>
              </w:rPr>
              <w:t xml:space="preserve">Optional.</w:t>
            </w:r>
          </w:p>
        </w:tc>
        <w:tc>
          <w:tcPr/>
          <w:p>
            <w:pPr>
              <w:pStyle w:val="Compact"/>
              <w:jc w:val="center"/>
            </w:pPr>
            <w:hyperlink r:id="rId26">
              <w:r>
                <w:rPr>
                  <w:rStyle w:val="Hyperlink"/>
                </w:rPr>
                <w:t xml:space="preserve">Watch</w:t>
              </w:r>
            </w:hyperlink>
          </w:p>
        </w:tc>
      </w:tr>
    </w:tbl>
    <w:p>
      <w:pPr>
        <w:pStyle w:val="BodyText"/>
      </w:pPr>
      <w:r>
        <w:rPr>
          <w:b/>
          <w:bCs/>
        </w:rPr>
        <w:t xml:space="preserve">Reference — Windows policy enforcement (WFP):</w:t>
      </w:r>
      <w:r>
        <w:t xml:space="preserve"> </w:t>
      </w:r>
      <w:hyperlink r:id="rId27">
        <w:r>
          <w:rPr>
            <w:rStyle w:val="VerbatimChar"/>
          </w:rPr>
          <w:t xml:space="preserve">WFP-Design.docx</w:t>
        </w:r>
      </w:hyperlink>
      <w:r>
        <w:t xml:space="preserve"> </w:t>
      </w:r>
      <w:r>
        <w:t xml:space="preserve">— Windows Filtering Platform design; how the CSW agent enforces host policy on Windows workloads.</w:t>
      </w:r>
    </w:p>
    <w:bookmarkEnd w:id="28"/>
    <w:bookmarkStart w:id="34" w:name="Xf8e5d935e4719b8ec583b58485ced48d95037fb"/>
    <w:p>
      <w:pPr>
        <w:pStyle w:val="Heading3"/>
      </w:pPr>
      <w:r>
        <w:t xml:space="preserve">6.3 Module 3 — Visibility and dependency discovery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6</w:t>
            </w:r>
          </w:p>
        </w:tc>
        <w:tc>
          <w:tcPr/>
          <w:p>
            <w:pPr>
              <w:pStyle w:val="Compact"/>
              <w:jc w:val="right"/>
            </w:pPr>
            <w:r>
              <w:t xml:space="preserve">6</w:t>
            </w:r>
          </w:p>
        </w:tc>
        <w:tc>
          <w:tcPr/>
          <w:p>
            <w:pPr>
              <w:pStyle w:val="Compact"/>
            </w:pPr>
            <w:r>
              <w:t xml:space="preserve">Production and Test Risk Reduction</w:t>
            </w:r>
          </w:p>
        </w:tc>
        <w:tc>
          <w:tcPr/>
          <w:p>
            <w:pPr>
              <w:pStyle w:val="Compact"/>
            </w:pPr>
            <w:r>
              <w:t xml:space="preserve">Macro-segment prod vs non-prod.</w:t>
            </w:r>
          </w:p>
        </w:tc>
        <w:tc>
          <w:tcPr/>
          <w:p>
            <w:pPr>
              <w:pStyle w:val="Compact"/>
              <w:jc w:val="center"/>
            </w:pPr>
            <w:hyperlink r:id="rId29">
              <w:r>
                <w:rPr>
                  <w:rStyle w:val="Hyperlink"/>
                </w:rPr>
                <w:t xml:space="preserve">Watch</w:t>
              </w:r>
            </w:hyperlink>
          </w:p>
        </w:tc>
      </w:tr>
      <w:tr>
        <w:tc>
          <w:tcPr/>
          <w:p>
            <w:pPr>
              <w:pStyle w:val="Compact"/>
              <w:jc w:val="center"/>
            </w:pPr>
            <w:r>
              <w:t xml:space="preserve">7</w:t>
            </w:r>
          </w:p>
        </w:tc>
        <w:tc>
          <w:tcPr/>
          <w:p>
            <w:pPr>
              <w:pStyle w:val="Compact"/>
              <w:jc w:val="right"/>
            </w:pPr>
            <w:r>
              <w:t xml:space="preserve">10</w:t>
            </w:r>
          </w:p>
        </w:tc>
        <w:tc>
          <w:tcPr/>
          <w:p>
            <w:pPr>
              <w:pStyle w:val="Compact"/>
            </w:pPr>
            <w:r>
              <w:t xml:space="preserve">Flow Analysis</w:t>
            </w:r>
          </w:p>
        </w:tc>
        <w:tc>
          <w:tcPr/>
          <w:p>
            <w:pPr>
              <w:pStyle w:val="Compact"/>
            </w:pPr>
            <w:r>
              <w:t xml:space="preserve">Traffic patterns and anomalies.</w:t>
            </w:r>
          </w:p>
        </w:tc>
        <w:tc>
          <w:tcPr/>
          <w:p>
            <w:pPr>
              <w:pStyle w:val="Compact"/>
              <w:jc w:val="center"/>
            </w:pPr>
            <w:hyperlink r:id="rId30">
              <w:r>
                <w:rPr>
                  <w:rStyle w:val="Hyperlink"/>
                </w:rPr>
                <w:t xml:space="preserve">Watch</w:t>
              </w:r>
            </w:hyperlink>
          </w:p>
        </w:tc>
      </w:tr>
      <w:tr>
        <w:tc>
          <w:tcPr/>
          <w:p>
            <w:pPr>
              <w:pStyle w:val="Compact"/>
              <w:jc w:val="center"/>
            </w:pPr>
            <w:r>
              <w:t xml:space="preserve">8</w:t>
            </w:r>
          </w:p>
        </w:tc>
        <w:tc>
          <w:tcPr/>
          <w:p>
            <w:pPr>
              <w:pStyle w:val="Compact"/>
              <w:jc w:val="right"/>
            </w:pPr>
            <w:r>
              <w:t xml:space="preserve">7</w:t>
            </w:r>
          </w:p>
        </w:tc>
        <w:tc>
          <w:tcPr/>
          <w:p>
            <w:pPr>
              <w:pStyle w:val="Compact"/>
            </w:pPr>
            <w:r>
              <w:t xml:space="preserve">Application Dependency Mapping &amp; Policy Analysis</w:t>
            </w:r>
          </w:p>
        </w:tc>
        <w:tc>
          <w:tcPr/>
          <w:p>
            <w:pPr>
              <w:pStyle w:val="Compact"/>
            </w:pPr>
            <w:r>
              <w:t xml:space="preserve">ADM and policy derivation.</w:t>
            </w:r>
          </w:p>
        </w:tc>
        <w:tc>
          <w:tcPr/>
          <w:p>
            <w:pPr>
              <w:pStyle w:val="Compact"/>
              <w:jc w:val="center"/>
            </w:pPr>
            <w:hyperlink r:id="rId31">
              <w:r>
                <w:rPr>
                  <w:rStyle w:val="Hyperlink"/>
                </w:rPr>
                <w:t xml:space="preserve">Watch</w:t>
              </w:r>
            </w:hyperlink>
          </w:p>
        </w:tc>
      </w:tr>
      <w:tr>
        <w:tc>
          <w:tcPr/>
          <w:p>
            <w:pPr>
              <w:pStyle w:val="Compact"/>
              <w:jc w:val="center"/>
            </w:pPr>
            <w:r>
              <w:t xml:space="preserve">9</w:t>
            </w:r>
          </w:p>
        </w:tc>
        <w:tc>
          <w:tcPr/>
          <w:p>
            <w:pPr>
              <w:pStyle w:val="Compact"/>
              <w:jc w:val="right"/>
            </w:pPr>
            <w:r>
              <w:t xml:space="preserve">9</w:t>
            </w:r>
          </w:p>
        </w:tc>
        <w:tc>
          <w:tcPr/>
          <w:p>
            <w:pPr>
              <w:pStyle w:val="Compact"/>
            </w:pPr>
            <w:r>
              <w:t xml:space="preserve">Dynamic Workloads &amp; Policy</w:t>
            </w:r>
          </w:p>
        </w:tc>
        <w:tc>
          <w:tcPr/>
          <w:p>
            <w:pPr>
              <w:pStyle w:val="Compact"/>
            </w:pPr>
            <w:r>
              <w:t xml:space="preserve">Policy for moving/scaling workloads.</w:t>
            </w:r>
          </w:p>
        </w:tc>
        <w:tc>
          <w:tcPr/>
          <w:p>
            <w:pPr>
              <w:pStyle w:val="Compact"/>
              <w:jc w:val="center"/>
            </w:pPr>
            <w:hyperlink r:id="rId32">
              <w:r>
                <w:rPr>
                  <w:rStyle w:val="Hyperlink"/>
                </w:rPr>
                <w:t xml:space="preserve">Watch</w:t>
              </w:r>
            </w:hyperlink>
          </w:p>
        </w:tc>
      </w:tr>
      <w:tr>
        <w:tc>
          <w:tcPr/>
          <w:p>
            <w:pPr>
              <w:pStyle w:val="Compact"/>
              <w:jc w:val="center"/>
            </w:pPr>
            <w:r>
              <w:t xml:space="preserve">10</w:t>
            </w:r>
          </w:p>
        </w:tc>
        <w:tc>
          <w:tcPr/>
          <w:p>
            <w:pPr>
              <w:pStyle w:val="Compact"/>
              <w:jc w:val="right"/>
            </w:pPr>
            <w:r>
              <w:t xml:space="preserve">8</w:t>
            </w:r>
          </w:p>
        </w:tc>
        <w:tc>
          <w:tcPr/>
          <w:p>
            <w:pPr>
              <w:pStyle w:val="Compact"/>
            </w:pPr>
            <w:r>
              <w:t xml:space="preserve">Policy Visual and Quick Analysis</w:t>
            </w:r>
          </w:p>
        </w:tc>
        <w:tc>
          <w:tcPr/>
          <w:p>
            <w:pPr>
              <w:pStyle w:val="Compact"/>
            </w:pPr>
            <w:r>
              <w:t xml:space="preserve">Visualize policy impact.</w:t>
            </w:r>
          </w:p>
        </w:tc>
        <w:tc>
          <w:tcPr/>
          <w:p>
            <w:pPr>
              <w:pStyle w:val="Compact"/>
              <w:jc w:val="center"/>
            </w:pPr>
            <w:hyperlink r:id="rId33">
              <w:r>
                <w:rPr>
                  <w:rStyle w:val="Hyperlink"/>
                </w:rPr>
                <w:t xml:space="preserve">Watch</w:t>
              </w:r>
            </w:hyperlink>
          </w:p>
        </w:tc>
      </w:tr>
    </w:tbl>
    <w:bookmarkEnd w:id="34"/>
    <w:bookmarkStart w:id="37" w:name="Xe08cf81caea7d0f53bf073b145c66d190f05ea7"/>
    <w:p>
      <w:pPr>
        <w:pStyle w:val="Heading3"/>
      </w:pPr>
      <w:r>
        <w:t xml:space="preserve">6.4 Module 4 — AI-assisted policy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11</w:t>
            </w:r>
          </w:p>
        </w:tc>
        <w:tc>
          <w:tcPr/>
          <w:p>
            <w:pPr>
              <w:pStyle w:val="Compact"/>
              <w:jc w:val="right"/>
            </w:pPr>
            <w:r>
              <w:t xml:space="preserve">33</w:t>
            </w:r>
          </w:p>
        </w:tc>
        <w:tc>
          <w:tcPr/>
          <w:p>
            <w:pPr>
              <w:pStyle w:val="Compact"/>
            </w:pPr>
            <w:r>
              <w:t xml:space="preserve">AI-Driven Policy Suggestions</w:t>
            </w:r>
          </w:p>
        </w:tc>
        <w:tc>
          <w:tcPr/>
          <w:p>
            <w:pPr>
              <w:pStyle w:val="Compact"/>
            </w:pPr>
            <w:r>
              <w:t xml:space="preserve">AI policy recommendations.</w:t>
            </w:r>
          </w:p>
        </w:tc>
        <w:tc>
          <w:tcPr/>
          <w:p>
            <w:pPr>
              <w:pStyle w:val="Compact"/>
              <w:jc w:val="center"/>
            </w:pPr>
            <w:hyperlink r:id="rId35">
              <w:r>
                <w:rPr>
                  <w:rStyle w:val="Hyperlink"/>
                </w:rPr>
                <w:t xml:space="preserve">Watch</w:t>
              </w:r>
            </w:hyperlink>
          </w:p>
        </w:tc>
      </w:tr>
      <w:tr>
        <w:tc>
          <w:tcPr/>
          <w:p>
            <w:pPr>
              <w:pStyle w:val="Compact"/>
              <w:jc w:val="center"/>
            </w:pPr>
            <w:r>
              <w:t xml:space="preserve">12</w:t>
            </w:r>
          </w:p>
        </w:tc>
        <w:tc>
          <w:tcPr/>
          <w:p>
            <w:pPr>
              <w:pStyle w:val="Compact"/>
              <w:jc w:val="right"/>
            </w:pPr>
            <w:r>
              <w:t xml:space="preserve">34</w:t>
            </w:r>
          </w:p>
        </w:tc>
        <w:tc>
          <w:tcPr/>
          <w:p>
            <w:pPr>
              <w:pStyle w:val="Compact"/>
            </w:pPr>
            <w:r>
              <w:t xml:space="preserve">Policy Statistics with AI Engine</w:t>
            </w:r>
          </w:p>
        </w:tc>
        <w:tc>
          <w:tcPr/>
          <w:p>
            <w:pPr>
              <w:pStyle w:val="Compact"/>
            </w:pPr>
            <w:r>
              <w:t xml:space="preserve">Statistics and tuning at scale.</w:t>
            </w:r>
          </w:p>
        </w:tc>
        <w:tc>
          <w:tcPr/>
          <w:p>
            <w:pPr>
              <w:pStyle w:val="Compact"/>
              <w:jc w:val="center"/>
            </w:pPr>
            <w:hyperlink r:id="rId36">
              <w:r>
                <w:rPr>
                  <w:rStyle w:val="Hyperlink"/>
                </w:rPr>
                <w:t xml:space="preserve">Watch</w:t>
              </w:r>
            </w:hyperlink>
          </w:p>
        </w:tc>
      </w:tr>
    </w:tbl>
    <w:bookmarkEnd w:id="37"/>
    <w:bookmarkStart w:id="43" w:name="X8a788de5795d40d873f8a098801eb93b3a8b2cf"/>
    <w:p>
      <w:pPr>
        <w:pStyle w:val="Heading3"/>
      </w:pPr>
      <w:r>
        <w:t xml:space="preserve">6.5 Module 5 — Security, risk, and forensics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13</w:t>
            </w:r>
          </w:p>
        </w:tc>
        <w:tc>
          <w:tcPr/>
          <w:p>
            <w:pPr>
              <w:pStyle w:val="Compact"/>
              <w:jc w:val="right"/>
            </w:pPr>
            <w:r>
              <w:t xml:space="preserve">12</w:t>
            </w:r>
          </w:p>
        </w:tc>
        <w:tc>
          <w:tcPr/>
          <w:p>
            <w:pPr>
              <w:pStyle w:val="Compact"/>
            </w:pPr>
            <w:r>
              <w:t xml:space="preserve">Security Dashboard</w:t>
            </w:r>
          </w:p>
        </w:tc>
        <w:tc>
          <w:tcPr/>
          <w:p>
            <w:pPr>
              <w:pStyle w:val="Compact"/>
            </w:pPr>
            <w:r>
              <w:t xml:space="preserve">Posture and risk drill-downs.</w:t>
            </w:r>
          </w:p>
        </w:tc>
        <w:tc>
          <w:tcPr/>
          <w:p>
            <w:pPr>
              <w:pStyle w:val="Compact"/>
              <w:jc w:val="center"/>
            </w:pPr>
            <w:hyperlink r:id="rId38">
              <w:r>
                <w:rPr>
                  <w:rStyle w:val="Hyperlink"/>
                </w:rPr>
                <w:t xml:space="preserve">Watch</w:t>
              </w:r>
            </w:hyperlink>
          </w:p>
        </w:tc>
      </w:tr>
      <w:tr>
        <w:tc>
          <w:tcPr/>
          <w:p>
            <w:pPr>
              <w:pStyle w:val="Compact"/>
              <w:jc w:val="center"/>
            </w:pPr>
            <w:r>
              <w:t xml:space="preserve">14</w:t>
            </w:r>
          </w:p>
        </w:tc>
        <w:tc>
          <w:tcPr/>
          <w:p>
            <w:pPr>
              <w:pStyle w:val="Compact"/>
              <w:jc w:val="right"/>
            </w:pPr>
            <w:r>
              <w:t xml:space="preserve">11</w:t>
            </w:r>
          </w:p>
        </w:tc>
        <w:tc>
          <w:tcPr/>
          <w:p>
            <w:pPr>
              <w:pStyle w:val="Compact"/>
            </w:pPr>
            <w:r>
              <w:t xml:space="preserve">Vulnerabilities and Risk Reduction</w:t>
            </w:r>
          </w:p>
        </w:tc>
        <w:tc>
          <w:tcPr/>
          <w:p>
            <w:pPr>
              <w:pStyle w:val="Compact"/>
            </w:pPr>
            <w:r>
              <w:t xml:space="preserve">Vulnerable workload prioritization.</w:t>
            </w:r>
          </w:p>
        </w:tc>
        <w:tc>
          <w:tcPr/>
          <w:p>
            <w:pPr>
              <w:pStyle w:val="Compact"/>
              <w:jc w:val="center"/>
            </w:pPr>
            <w:hyperlink r:id="rId39">
              <w:r>
                <w:rPr>
                  <w:rStyle w:val="Hyperlink"/>
                </w:rPr>
                <w:t xml:space="preserve">Watch</w:t>
              </w:r>
            </w:hyperlink>
          </w:p>
        </w:tc>
      </w:tr>
      <w:tr>
        <w:tc>
          <w:tcPr/>
          <w:p>
            <w:pPr>
              <w:pStyle w:val="Compact"/>
              <w:jc w:val="center"/>
            </w:pPr>
            <w:r>
              <w:t xml:space="preserve">15</w:t>
            </w:r>
          </w:p>
        </w:tc>
        <w:tc>
          <w:tcPr/>
          <w:p>
            <w:pPr>
              <w:pStyle w:val="Compact"/>
              <w:jc w:val="right"/>
            </w:pPr>
            <w:r>
              <w:t xml:space="preserve">15</w:t>
            </w:r>
          </w:p>
        </w:tc>
        <w:tc>
          <w:tcPr/>
          <w:p>
            <w:pPr>
              <w:pStyle w:val="Compact"/>
            </w:pPr>
            <w:r>
              <w:t xml:space="preserve">SSH Risk Reduction</w:t>
            </w:r>
          </w:p>
        </w:tc>
        <w:tc>
          <w:tcPr/>
          <w:p>
            <w:pPr>
              <w:pStyle w:val="Compact"/>
            </w:pPr>
            <w:r>
              <w:t xml:space="preserve">Control SSH between workloads.</w:t>
            </w:r>
          </w:p>
        </w:tc>
        <w:tc>
          <w:tcPr/>
          <w:p>
            <w:pPr>
              <w:pStyle w:val="Compact"/>
              <w:jc w:val="center"/>
            </w:pPr>
            <w:hyperlink r:id="rId40">
              <w:r>
                <w:rPr>
                  <w:rStyle w:val="Hyperlink"/>
                </w:rPr>
                <w:t xml:space="preserve">Watch</w:t>
              </w:r>
            </w:hyperlink>
          </w:p>
        </w:tc>
      </w:tr>
      <w:tr>
        <w:tc>
          <w:tcPr/>
          <w:p>
            <w:pPr>
              <w:pStyle w:val="Compact"/>
              <w:jc w:val="center"/>
            </w:pPr>
            <w:r>
              <w:t xml:space="preserve">16</w:t>
            </w:r>
          </w:p>
        </w:tc>
        <w:tc>
          <w:tcPr/>
          <w:p>
            <w:pPr>
              <w:pStyle w:val="Compact"/>
              <w:jc w:val="right"/>
            </w:pPr>
            <w:r>
              <w:t xml:space="preserve">14</w:t>
            </w:r>
          </w:p>
        </w:tc>
        <w:tc>
          <w:tcPr/>
          <w:p>
            <w:pPr>
              <w:pStyle w:val="Compact"/>
            </w:pPr>
            <w:r>
              <w:t xml:space="preserve">Log4J Risk Reduction</w:t>
            </w:r>
          </w:p>
        </w:tc>
        <w:tc>
          <w:tcPr/>
          <w:p>
            <w:pPr>
              <w:pStyle w:val="Compact"/>
            </w:pPr>
            <w:r>
              <w:t xml:space="preserve">Log4Shell exposure containment.</w:t>
            </w:r>
          </w:p>
        </w:tc>
        <w:tc>
          <w:tcPr/>
          <w:p>
            <w:pPr>
              <w:pStyle w:val="Compact"/>
              <w:jc w:val="center"/>
            </w:pPr>
            <w:hyperlink r:id="rId41">
              <w:r>
                <w:rPr>
                  <w:rStyle w:val="Hyperlink"/>
                </w:rPr>
                <w:t xml:space="preserve">Watch</w:t>
              </w:r>
            </w:hyperlink>
          </w:p>
        </w:tc>
      </w:tr>
      <w:tr>
        <w:tc>
          <w:tcPr/>
          <w:p>
            <w:pPr>
              <w:pStyle w:val="Compact"/>
              <w:jc w:val="center"/>
            </w:pPr>
            <w:r>
              <w:t xml:space="preserve">17</w:t>
            </w:r>
          </w:p>
        </w:tc>
        <w:tc>
          <w:tcPr/>
          <w:p>
            <w:pPr>
              <w:pStyle w:val="Compact"/>
              <w:jc w:val="right"/>
            </w:pPr>
            <w:r>
              <w:t xml:space="preserve">13</w:t>
            </w:r>
          </w:p>
        </w:tc>
        <w:tc>
          <w:tcPr/>
          <w:p>
            <w:pPr>
              <w:pStyle w:val="Compact"/>
            </w:pPr>
            <w:r>
              <w:t xml:space="preserve">Forensics</w:t>
            </w:r>
          </w:p>
        </w:tc>
        <w:tc>
          <w:tcPr/>
          <w:p>
            <w:pPr>
              <w:pStyle w:val="Compact"/>
            </w:pPr>
            <w:r>
              <w:t xml:space="preserve">Investigation evidence.</w:t>
            </w:r>
          </w:p>
        </w:tc>
        <w:tc>
          <w:tcPr/>
          <w:p>
            <w:pPr>
              <w:pStyle w:val="Compact"/>
              <w:jc w:val="center"/>
            </w:pPr>
            <w:hyperlink r:id="rId42">
              <w:r>
                <w:rPr>
                  <w:rStyle w:val="Hyperlink"/>
                </w:rPr>
                <w:t xml:space="preserve">Watch</w:t>
              </w:r>
            </w:hyperlink>
          </w:p>
        </w:tc>
      </w:tr>
    </w:tbl>
    <w:bookmarkEnd w:id="43"/>
    <w:bookmarkStart w:id="46" w:name="X8938ec5b7415f921bc4d87f7ee35b1149073c6a"/>
    <w:p>
      <w:pPr>
        <w:pStyle w:val="Heading3"/>
      </w:pPr>
      <w:r>
        <w:t xml:space="preserve">6.6 Module 6 — Segmentation use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18</w:t>
            </w:r>
          </w:p>
        </w:tc>
        <w:tc>
          <w:tcPr/>
          <w:p>
            <w:pPr>
              <w:pStyle w:val="Compact"/>
              <w:jc w:val="right"/>
            </w:pPr>
            <w:r>
              <w:t xml:space="preserve">16</w:t>
            </w:r>
          </w:p>
        </w:tc>
        <w:tc>
          <w:tcPr/>
          <w:p>
            <w:pPr>
              <w:pStyle w:val="Compact"/>
            </w:pPr>
            <w:r>
              <w:t xml:space="preserve">Terminal Services Segmentation</w:t>
            </w:r>
          </w:p>
        </w:tc>
        <w:tc>
          <w:tcPr/>
          <w:p>
            <w:pPr>
              <w:pStyle w:val="Compact"/>
            </w:pPr>
            <w:r>
              <w:t xml:space="preserve">RDS / Terminal Services.</w:t>
            </w:r>
          </w:p>
        </w:tc>
        <w:tc>
          <w:tcPr/>
          <w:p>
            <w:pPr>
              <w:pStyle w:val="Compact"/>
              <w:jc w:val="center"/>
            </w:pPr>
            <w:hyperlink r:id="rId44">
              <w:r>
                <w:rPr>
                  <w:rStyle w:val="Hyperlink"/>
                </w:rPr>
                <w:t xml:space="preserve">Watch</w:t>
              </w:r>
            </w:hyperlink>
          </w:p>
        </w:tc>
      </w:tr>
      <w:tr>
        <w:tc>
          <w:tcPr/>
          <w:p>
            <w:pPr>
              <w:pStyle w:val="Compact"/>
              <w:jc w:val="center"/>
            </w:pPr>
            <w:r>
              <w:t xml:space="preserve">19</w:t>
            </w:r>
          </w:p>
        </w:tc>
        <w:tc>
          <w:tcPr/>
          <w:p>
            <w:pPr>
              <w:pStyle w:val="Compact"/>
              <w:jc w:val="right"/>
            </w:pPr>
            <w:r>
              <w:t xml:space="preserve">17</w:t>
            </w:r>
          </w:p>
        </w:tc>
        <w:tc>
          <w:tcPr/>
          <w:p>
            <w:pPr>
              <w:pStyle w:val="Compact"/>
            </w:pPr>
            <w:r>
              <w:t xml:space="preserve">VDI Segmentation</w:t>
            </w:r>
          </w:p>
        </w:tc>
        <w:tc>
          <w:tcPr/>
          <w:p>
            <w:pPr>
              <w:pStyle w:val="Compact"/>
            </w:pPr>
            <w:r>
              <w:t xml:space="preserve">Golden-image VDI estates.</w:t>
            </w:r>
          </w:p>
        </w:tc>
        <w:tc>
          <w:tcPr/>
          <w:p>
            <w:pPr>
              <w:pStyle w:val="Compact"/>
              <w:jc w:val="center"/>
            </w:pPr>
            <w:hyperlink r:id="rId45">
              <w:r>
                <w:rPr>
                  <w:rStyle w:val="Hyperlink"/>
                </w:rPr>
                <w:t xml:space="preserve">Watch</w:t>
              </w:r>
            </w:hyperlink>
          </w:p>
        </w:tc>
      </w:tr>
    </w:tbl>
    <w:bookmarkEnd w:id="46"/>
    <w:bookmarkStart w:id="63" w:name="Xe21ac8eabdd6109406629bd8972d04c76475f88"/>
    <w:p>
      <w:pPr>
        <w:pStyle w:val="Heading3"/>
      </w:pPr>
      <w:r>
        <w:t xml:space="preserve">6.7 Module 7 — Integrations (POV-specific)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Resource</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20</w:t>
            </w:r>
          </w:p>
        </w:tc>
        <w:tc>
          <w:tcPr/>
          <w:p>
            <w:pPr>
              <w:pStyle w:val="Compact"/>
              <w:jc w:val="right"/>
            </w:pPr>
            <w:r>
              <w:t xml:space="preserve">18</w:t>
            </w:r>
          </w:p>
        </w:tc>
        <w:tc>
          <w:tcPr/>
          <w:p>
            <w:pPr>
              <w:pStyle w:val="Compact"/>
            </w:pPr>
            <w:r>
              <w:t xml:space="preserve">Secure Workload &amp; Firewall Integration (Part 1)</w:t>
            </w:r>
          </w:p>
        </w:tc>
        <w:tc>
          <w:tcPr/>
          <w:p>
            <w:pPr>
              <w:pStyle w:val="Compact"/>
            </w:pPr>
            <w:r>
              <w:t xml:space="preserve">Introduction, design, architecture.</w:t>
            </w:r>
          </w:p>
        </w:tc>
        <w:tc>
          <w:tcPr/>
          <w:p>
            <w:pPr>
              <w:pStyle w:val="Compact"/>
              <w:jc w:val="center"/>
            </w:pPr>
            <w:hyperlink r:id="rId47">
              <w:r>
                <w:rPr>
                  <w:rStyle w:val="Hyperlink"/>
                </w:rPr>
                <w:t xml:space="preserve">Watch</w:t>
              </w:r>
            </w:hyperlink>
          </w:p>
        </w:tc>
      </w:tr>
      <w:tr>
        <w:tc>
          <w:tcPr/>
          <w:p>
            <w:pPr>
              <w:pStyle w:val="Compact"/>
              <w:jc w:val="center"/>
            </w:pPr>
            <w:r>
              <w:t xml:space="preserve">21</w:t>
            </w:r>
          </w:p>
        </w:tc>
        <w:tc>
          <w:tcPr/>
          <w:p>
            <w:pPr>
              <w:pStyle w:val="Compact"/>
              <w:jc w:val="right"/>
            </w:pPr>
            <w:r>
              <w:t xml:space="preserve">19</w:t>
            </w:r>
          </w:p>
        </w:tc>
        <w:tc>
          <w:tcPr/>
          <w:p>
            <w:pPr>
              <w:pStyle w:val="Compact"/>
            </w:pPr>
            <w:r>
              <w:t xml:space="preserve">Secure Workload &amp; Firewall Integration (Part 2)</w:t>
            </w:r>
          </w:p>
        </w:tc>
        <w:tc>
          <w:tcPr/>
          <w:p>
            <w:pPr>
              <w:pStyle w:val="Compact"/>
            </w:pPr>
            <w:r>
              <w:t xml:space="preserve">Deployment patterns and policy flow.</w:t>
            </w:r>
          </w:p>
        </w:tc>
        <w:tc>
          <w:tcPr/>
          <w:p>
            <w:pPr>
              <w:pStyle w:val="Compact"/>
              <w:jc w:val="center"/>
            </w:pPr>
            <w:hyperlink r:id="rId48">
              <w:r>
                <w:rPr>
                  <w:rStyle w:val="Hyperlink"/>
                </w:rPr>
                <w:t xml:space="preserve">Watch</w:t>
              </w:r>
            </w:hyperlink>
          </w:p>
        </w:tc>
      </w:tr>
      <w:tr>
        <w:tc>
          <w:tcPr/>
          <w:p>
            <w:pPr>
              <w:pStyle w:val="Compact"/>
              <w:jc w:val="center"/>
            </w:pPr>
            <w:r>
              <w:t xml:space="preserve">22</w:t>
            </w:r>
          </w:p>
        </w:tc>
        <w:tc>
          <w:tcPr/>
          <w:p>
            <w:pPr>
              <w:pStyle w:val="Compact"/>
              <w:jc w:val="right"/>
            </w:pPr>
            <w:r>
              <w:t xml:space="preserve">20</w:t>
            </w:r>
          </w:p>
        </w:tc>
        <w:tc>
          <w:tcPr/>
          <w:p>
            <w:pPr>
              <w:pStyle w:val="Compact"/>
            </w:pPr>
            <w:r>
              <w:t xml:space="preserve">Secure Workload &amp; Firewall Integration (Part 3)</w:t>
            </w:r>
          </w:p>
        </w:tc>
        <w:tc>
          <w:tcPr/>
          <w:p>
            <w:pPr>
              <w:pStyle w:val="Compact"/>
            </w:pPr>
            <w:r>
              <w:t xml:space="preserve">Enforcement, telemetry, operations.</w:t>
            </w:r>
          </w:p>
        </w:tc>
        <w:tc>
          <w:tcPr/>
          <w:p>
            <w:pPr>
              <w:pStyle w:val="Compact"/>
              <w:jc w:val="center"/>
            </w:pPr>
            <w:hyperlink r:id="rId49">
              <w:r>
                <w:rPr>
                  <w:rStyle w:val="Hyperlink"/>
                </w:rPr>
                <w:t xml:space="preserve">Watch</w:t>
              </w:r>
            </w:hyperlink>
          </w:p>
        </w:tc>
      </w:tr>
      <w:tr>
        <w:tc>
          <w:tcPr/>
          <w:p>
            <w:pPr>
              <w:pStyle w:val="Compact"/>
              <w:jc w:val="center"/>
            </w:pPr>
            <w:r>
              <w:t xml:space="preserve">23</w:t>
            </w:r>
          </w:p>
        </w:tc>
        <w:tc>
          <w:tcPr/>
          <w:p>
            <w:pPr>
              <w:pStyle w:val="Compact"/>
              <w:jc w:val="right"/>
            </w:pPr>
            <w:r>
              <w:t xml:space="preserve">21</w:t>
            </w:r>
          </w:p>
        </w:tc>
        <w:tc>
          <w:tcPr/>
          <w:p>
            <w:pPr>
              <w:pStyle w:val="Compact"/>
            </w:pPr>
            <w:r>
              <w:t xml:space="preserve">Secure Firewall White Paper</w:t>
            </w:r>
          </w:p>
        </w:tc>
        <w:tc>
          <w:tcPr/>
          <w:p>
            <w:pPr>
              <w:pStyle w:val="Compact"/>
            </w:pPr>
            <w:r>
              <w:t xml:space="preserve">Joint architecture (Cisco.com).</w:t>
            </w:r>
          </w:p>
        </w:tc>
        <w:tc>
          <w:tcPr/>
          <w:p>
            <w:pPr>
              <w:pStyle w:val="Compact"/>
              <w:jc w:val="center"/>
            </w:pPr>
            <w:hyperlink r:id="rId50">
              <w:r>
                <w:rPr>
                  <w:rStyle w:val="Hyperlink"/>
                </w:rPr>
                <w:t xml:space="preserve">Read</w:t>
              </w:r>
            </w:hyperlink>
          </w:p>
        </w:tc>
      </w:tr>
      <w:tr>
        <w:tc>
          <w:tcPr/>
          <w:p>
            <w:pPr>
              <w:pStyle w:val="Compact"/>
              <w:jc w:val="center"/>
            </w:pPr>
            <w:r>
              <w:t xml:space="preserve">24</w:t>
            </w:r>
          </w:p>
        </w:tc>
        <w:tc>
          <w:tcPr/>
          <w:p>
            <w:pPr>
              <w:pStyle w:val="Compact"/>
              <w:jc w:val="right"/>
            </w:pPr>
            <w:r>
              <w:t xml:space="preserve">22</w:t>
            </w:r>
          </w:p>
        </w:tc>
        <w:tc>
          <w:tcPr/>
          <w:p>
            <w:pPr>
              <w:pStyle w:val="Compact"/>
            </w:pPr>
            <w:r>
              <w:t xml:space="preserve">Firewall Integration Deep Dive</w:t>
            </w:r>
          </w:p>
        </w:tc>
        <w:tc>
          <w:tcPr/>
          <w:p>
            <w:pPr>
              <w:pStyle w:val="Compact"/>
            </w:pPr>
            <w:r>
              <w:t xml:space="preserve">Design principles and use cases.</w:t>
            </w:r>
          </w:p>
        </w:tc>
        <w:tc>
          <w:tcPr/>
          <w:p>
            <w:pPr>
              <w:pStyle w:val="Compact"/>
              <w:jc w:val="center"/>
            </w:pPr>
            <w:hyperlink r:id="rId51">
              <w:r>
                <w:rPr>
                  <w:rStyle w:val="Hyperlink"/>
                </w:rPr>
                <w:t xml:space="preserve">Read</w:t>
              </w:r>
            </w:hyperlink>
          </w:p>
        </w:tc>
      </w:tr>
      <w:tr>
        <w:tc>
          <w:tcPr/>
          <w:p>
            <w:pPr>
              <w:pStyle w:val="Compact"/>
              <w:jc w:val="center"/>
            </w:pPr>
            <w:r>
              <w:t xml:space="preserve">25</w:t>
            </w:r>
          </w:p>
        </w:tc>
        <w:tc>
          <w:tcPr/>
          <w:p>
            <w:pPr>
              <w:pStyle w:val="Compact"/>
              <w:jc w:val="right"/>
            </w:pPr>
            <w:r>
              <w:t xml:space="preserve">23</w:t>
            </w:r>
          </w:p>
        </w:tc>
        <w:tc>
          <w:tcPr/>
          <w:p>
            <w:pPr>
              <w:pStyle w:val="Compact"/>
            </w:pPr>
            <w:r>
              <w:t xml:space="preserve">F5 BIG-IP: APM Visibility</w:t>
            </w:r>
          </w:p>
        </w:tc>
        <w:tc>
          <w:tcPr/>
          <w:p>
            <w:pPr>
              <w:pStyle w:val="Compact"/>
            </w:pPr>
            <w:r>
              <w:t xml:space="preserve">F5 APM application visibility.</w:t>
            </w:r>
          </w:p>
        </w:tc>
        <w:tc>
          <w:tcPr/>
          <w:p>
            <w:pPr>
              <w:pStyle w:val="Compact"/>
              <w:jc w:val="center"/>
            </w:pPr>
            <w:hyperlink r:id="rId52">
              <w:r>
                <w:rPr>
                  <w:rStyle w:val="Hyperlink"/>
                </w:rPr>
                <w:t xml:space="preserve">Watch</w:t>
              </w:r>
            </w:hyperlink>
          </w:p>
        </w:tc>
      </w:tr>
      <w:tr>
        <w:tc>
          <w:tcPr/>
          <w:p>
            <w:pPr>
              <w:pStyle w:val="Compact"/>
              <w:jc w:val="center"/>
            </w:pPr>
            <w:r>
              <w:t xml:space="preserve">26</w:t>
            </w:r>
          </w:p>
        </w:tc>
        <w:tc>
          <w:tcPr/>
          <w:p>
            <w:pPr>
              <w:pStyle w:val="Compact"/>
              <w:jc w:val="right"/>
            </w:pPr>
            <w:r>
              <w:t xml:space="preserve">24</w:t>
            </w:r>
          </w:p>
        </w:tc>
        <w:tc>
          <w:tcPr/>
          <w:p>
            <w:pPr>
              <w:pStyle w:val="Compact"/>
            </w:pPr>
            <w:r>
              <w:t xml:space="preserve">F5 BIG-IP AFM</w:t>
            </w:r>
          </w:p>
        </w:tc>
        <w:tc>
          <w:tcPr/>
          <w:p>
            <w:pPr>
              <w:pStyle w:val="Compact"/>
            </w:pPr>
            <w:r>
              <w:t xml:space="preserve">AFM flow context.</w:t>
            </w:r>
          </w:p>
        </w:tc>
        <w:tc>
          <w:tcPr/>
          <w:p>
            <w:pPr>
              <w:pStyle w:val="Compact"/>
              <w:jc w:val="center"/>
            </w:pPr>
            <w:hyperlink r:id="rId53">
              <w:r>
                <w:rPr>
                  <w:rStyle w:val="Hyperlink"/>
                </w:rPr>
                <w:t xml:space="preserve">Watch</w:t>
              </w:r>
            </w:hyperlink>
          </w:p>
        </w:tc>
      </w:tr>
      <w:tr>
        <w:tc>
          <w:tcPr/>
          <w:p>
            <w:pPr>
              <w:pStyle w:val="Compact"/>
              <w:jc w:val="center"/>
            </w:pPr>
            <w:r>
              <w:t xml:space="preserve">27</w:t>
            </w:r>
          </w:p>
        </w:tc>
        <w:tc>
          <w:tcPr/>
          <w:p>
            <w:pPr>
              <w:pStyle w:val="Compact"/>
              <w:jc w:val="right"/>
            </w:pPr>
            <w:r>
              <w:t xml:space="preserve">25</w:t>
            </w:r>
          </w:p>
        </w:tc>
        <w:tc>
          <w:tcPr/>
          <w:p>
            <w:pPr>
              <w:pStyle w:val="Compact"/>
            </w:pPr>
            <w:r>
              <w:t xml:space="preserve">F5 BIG-IP IPFIX Configuration</w:t>
            </w:r>
          </w:p>
        </w:tc>
        <w:tc>
          <w:tcPr/>
          <w:p>
            <w:pPr>
              <w:pStyle w:val="Compact"/>
            </w:pPr>
            <w:r>
              <w:t xml:space="preserve">IPFIX into Secure Workload.</w:t>
            </w:r>
          </w:p>
        </w:tc>
        <w:tc>
          <w:tcPr/>
          <w:p>
            <w:pPr>
              <w:pStyle w:val="Compact"/>
              <w:jc w:val="center"/>
            </w:pPr>
            <w:hyperlink r:id="rId54">
              <w:r>
                <w:rPr>
                  <w:rStyle w:val="Hyperlink"/>
                </w:rPr>
                <w:t xml:space="preserve">Watch</w:t>
              </w:r>
            </w:hyperlink>
          </w:p>
        </w:tc>
      </w:tr>
      <w:tr>
        <w:tc>
          <w:tcPr/>
          <w:p>
            <w:pPr>
              <w:pStyle w:val="Compact"/>
              <w:jc w:val="center"/>
            </w:pPr>
            <w:r>
              <w:t xml:space="preserve">28</w:t>
            </w:r>
          </w:p>
        </w:tc>
        <w:tc>
          <w:tcPr/>
          <w:p>
            <w:pPr>
              <w:pStyle w:val="Compact"/>
              <w:jc w:val="right"/>
            </w:pPr>
            <w:r>
              <w:t xml:space="preserve">26</w:t>
            </w:r>
          </w:p>
        </w:tc>
        <w:tc>
          <w:tcPr/>
          <w:p>
            <w:pPr>
              <w:pStyle w:val="Compact"/>
            </w:pPr>
            <w:r>
              <w:t xml:space="preserve">DNS Server Integration</w:t>
            </w:r>
          </w:p>
        </w:tc>
        <w:tc>
          <w:tcPr/>
          <w:p>
            <w:pPr>
              <w:pStyle w:val="Compact"/>
            </w:pPr>
            <w:r>
              <w:t xml:space="preserve">DNS context for flows and policy.</w:t>
            </w:r>
          </w:p>
        </w:tc>
        <w:tc>
          <w:tcPr/>
          <w:p>
            <w:pPr>
              <w:pStyle w:val="Compact"/>
              <w:jc w:val="center"/>
            </w:pPr>
            <w:hyperlink r:id="rId55">
              <w:r>
                <w:rPr>
                  <w:rStyle w:val="Hyperlink"/>
                </w:rPr>
                <w:t xml:space="preserve">Watch</w:t>
              </w:r>
            </w:hyperlink>
          </w:p>
        </w:tc>
      </w:tr>
      <w:tr>
        <w:tc>
          <w:tcPr/>
          <w:p>
            <w:pPr>
              <w:pStyle w:val="Compact"/>
              <w:jc w:val="center"/>
            </w:pPr>
            <w:r>
              <w:t xml:space="preserve">29</w:t>
            </w:r>
          </w:p>
        </w:tc>
        <w:tc>
          <w:tcPr/>
          <w:p>
            <w:pPr>
              <w:pStyle w:val="Compact"/>
              <w:jc w:val="right"/>
            </w:pPr>
            <w:r>
              <w:t xml:space="preserve">27</w:t>
            </w:r>
          </w:p>
        </w:tc>
        <w:tc>
          <w:tcPr/>
          <w:p>
            <w:pPr>
              <w:pStyle w:val="Compact"/>
            </w:pPr>
            <w:r>
              <w:t xml:space="preserve">Infoblox Integration</w:t>
            </w:r>
          </w:p>
        </w:tc>
        <w:tc>
          <w:tcPr/>
          <w:p>
            <w:pPr>
              <w:pStyle w:val="Compact"/>
            </w:pPr>
            <w:r>
              <w:t xml:space="preserve">DNS / IPAM context.</w:t>
            </w:r>
          </w:p>
        </w:tc>
        <w:tc>
          <w:tcPr/>
          <w:p>
            <w:pPr>
              <w:pStyle w:val="Compact"/>
              <w:jc w:val="center"/>
            </w:pPr>
            <w:hyperlink r:id="rId56">
              <w:r>
                <w:rPr>
                  <w:rStyle w:val="Hyperlink"/>
                </w:rPr>
                <w:t xml:space="preserve">Watch</w:t>
              </w:r>
            </w:hyperlink>
          </w:p>
        </w:tc>
      </w:tr>
      <w:tr>
        <w:tc>
          <w:tcPr/>
          <w:p>
            <w:pPr>
              <w:pStyle w:val="Compact"/>
              <w:jc w:val="center"/>
            </w:pPr>
            <w:r>
              <w:t xml:space="preserve">30</w:t>
            </w:r>
          </w:p>
        </w:tc>
        <w:tc>
          <w:tcPr/>
          <w:p>
            <w:pPr>
              <w:pStyle w:val="Compact"/>
              <w:jc w:val="right"/>
            </w:pPr>
            <w:r>
              <w:t xml:space="preserve">28</w:t>
            </w:r>
          </w:p>
        </w:tc>
        <w:tc>
          <w:tcPr/>
          <w:p>
            <w:pPr>
              <w:pStyle w:val="Compact"/>
            </w:pPr>
            <w:r>
              <w:t xml:space="preserve">Algosec Integration</w:t>
            </w:r>
          </w:p>
        </w:tc>
        <w:tc>
          <w:tcPr/>
          <w:p>
            <w:pPr>
              <w:pStyle w:val="Compact"/>
            </w:pPr>
            <w:r>
              <w:t xml:space="preserve">Firewall-policy lifecycle.</w:t>
            </w:r>
          </w:p>
        </w:tc>
        <w:tc>
          <w:tcPr/>
          <w:p>
            <w:pPr>
              <w:pStyle w:val="Compact"/>
              <w:jc w:val="center"/>
            </w:pPr>
            <w:hyperlink r:id="rId57">
              <w:r>
                <w:rPr>
                  <w:rStyle w:val="Hyperlink"/>
                </w:rPr>
                <w:t xml:space="preserve">Watch</w:t>
              </w:r>
            </w:hyperlink>
          </w:p>
        </w:tc>
      </w:tr>
      <w:tr>
        <w:tc>
          <w:tcPr/>
          <w:p>
            <w:pPr>
              <w:pStyle w:val="Compact"/>
              <w:jc w:val="center"/>
            </w:pPr>
            <w:r>
              <w:t xml:space="preserve">31</w:t>
            </w:r>
          </w:p>
        </w:tc>
        <w:tc>
          <w:tcPr/>
          <w:p>
            <w:pPr>
              <w:pStyle w:val="Compact"/>
              <w:jc w:val="right"/>
            </w:pPr>
            <w:r>
              <w:t xml:space="preserve">29</w:t>
            </w:r>
          </w:p>
        </w:tc>
        <w:tc>
          <w:tcPr/>
          <w:p>
            <w:pPr>
              <w:pStyle w:val="Compact"/>
            </w:pPr>
            <w:r>
              <w:t xml:space="preserve">ISE (In Action)</w:t>
            </w:r>
          </w:p>
        </w:tc>
        <w:tc>
          <w:tcPr/>
          <w:p>
            <w:pPr>
              <w:pStyle w:val="Compact"/>
            </w:pPr>
            <w:r>
              <w:t xml:space="preserve">Identity from Cisco ISE.</w:t>
            </w:r>
          </w:p>
        </w:tc>
        <w:tc>
          <w:tcPr/>
          <w:p>
            <w:pPr>
              <w:pStyle w:val="Compact"/>
              <w:jc w:val="center"/>
            </w:pPr>
            <w:hyperlink r:id="rId58">
              <w:r>
                <w:rPr>
                  <w:rStyle w:val="Hyperlink"/>
                </w:rPr>
                <w:t xml:space="preserve">Watch</w:t>
              </w:r>
            </w:hyperlink>
          </w:p>
        </w:tc>
      </w:tr>
      <w:tr>
        <w:tc>
          <w:tcPr/>
          <w:p>
            <w:pPr>
              <w:pStyle w:val="Compact"/>
              <w:jc w:val="center"/>
            </w:pPr>
            <w:r>
              <w:t xml:space="preserve">32</w:t>
            </w:r>
          </w:p>
        </w:tc>
        <w:tc>
          <w:tcPr/>
          <w:p>
            <w:pPr>
              <w:pStyle w:val="Compact"/>
              <w:jc w:val="right"/>
            </w:pPr>
            <w:r>
              <w:t xml:space="preserve">30</w:t>
            </w:r>
          </w:p>
        </w:tc>
        <w:tc>
          <w:tcPr/>
          <w:p>
            <w:pPr>
              <w:pStyle w:val="Compact"/>
            </w:pPr>
            <w:r>
              <w:t xml:space="preserve">FMC / Edge / Ingest / Appliance</w:t>
            </w:r>
          </w:p>
        </w:tc>
        <w:tc>
          <w:tcPr/>
          <w:p>
            <w:pPr>
              <w:pStyle w:val="Compact"/>
            </w:pPr>
            <w:r>
              <w:t xml:space="preserve">FMC integration paths.</w:t>
            </w:r>
          </w:p>
        </w:tc>
        <w:tc>
          <w:tcPr/>
          <w:p>
            <w:pPr>
              <w:pStyle w:val="Compact"/>
              <w:jc w:val="center"/>
            </w:pPr>
            <w:hyperlink r:id="rId59">
              <w:r>
                <w:rPr>
                  <w:rStyle w:val="Hyperlink"/>
                </w:rPr>
                <w:t xml:space="preserve">Watch</w:t>
              </w:r>
            </w:hyperlink>
          </w:p>
        </w:tc>
      </w:tr>
      <w:tr>
        <w:tc>
          <w:tcPr/>
          <w:p>
            <w:pPr>
              <w:pStyle w:val="Compact"/>
              <w:jc w:val="center"/>
            </w:pPr>
            <w:r>
              <w:t xml:space="preserve">33</w:t>
            </w:r>
          </w:p>
        </w:tc>
        <w:tc>
          <w:tcPr/>
          <w:p>
            <w:pPr>
              <w:pStyle w:val="Compact"/>
              <w:jc w:val="right"/>
            </w:pPr>
            <w:r>
              <w:t xml:space="preserve">31</w:t>
            </w:r>
          </w:p>
        </w:tc>
        <w:tc>
          <w:tcPr/>
          <w:p>
            <w:pPr>
              <w:pStyle w:val="Compact"/>
            </w:pPr>
            <w:r>
              <w:t xml:space="preserve">ACI and CSW Integration</w:t>
            </w:r>
          </w:p>
        </w:tc>
        <w:tc>
          <w:tcPr/>
          <w:p>
            <w:pPr>
              <w:pStyle w:val="Compact"/>
            </w:pPr>
            <w:r>
              <w:t xml:space="preserve">ACI + workload segmentation.</w:t>
            </w:r>
          </w:p>
        </w:tc>
        <w:tc>
          <w:tcPr/>
          <w:p>
            <w:pPr>
              <w:pStyle w:val="Compact"/>
              <w:jc w:val="center"/>
            </w:pPr>
            <w:hyperlink r:id="rId60">
              <w:r>
                <w:rPr>
                  <w:rStyle w:val="Hyperlink"/>
                </w:rPr>
                <w:t xml:space="preserve">Watch</w:t>
              </w:r>
            </w:hyperlink>
          </w:p>
        </w:tc>
      </w:tr>
      <w:tr>
        <w:tc>
          <w:tcPr/>
          <w:p>
            <w:pPr>
              <w:pStyle w:val="Compact"/>
              <w:jc w:val="center"/>
            </w:pPr>
            <w:r>
              <w:t xml:space="preserve">34</w:t>
            </w:r>
          </w:p>
        </w:tc>
        <w:tc>
          <w:tcPr/>
          <w:p>
            <w:pPr>
              <w:pStyle w:val="Compact"/>
              <w:jc w:val="right"/>
            </w:pPr>
            <w:r>
              <w:t xml:space="preserve">35</w:t>
            </w:r>
          </w:p>
        </w:tc>
        <w:tc>
          <w:tcPr/>
          <w:p>
            <w:pPr>
              <w:pStyle w:val="Compact"/>
            </w:pPr>
            <w:r>
              <w:t xml:space="preserve">Splunk Integration (SIEM)</w:t>
            </w:r>
          </w:p>
        </w:tc>
        <w:tc>
          <w:tcPr/>
          <w:p>
            <w:pPr>
              <w:pStyle w:val="Compact"/>
            </w:pPr>
            <w:r>
              <w:t xml:space="preserve">Cisco Security Cloud App for baseline datasets, CSW → Splunk Syslog alerts, plus Splunk-driven Python against the CSW API.</w:t>
            </w:r>
          </w:p>
        </w:tc>
        <w:tc>
          <w:tcPr/>
          <w:p>
            <w:pPr>
              <w:pStyle w:val="Compact"/>
              <w:jc w:val="center"/>
            </w:pPr>
            <w:hyperlink r:id="rId61">
              <w:r>
                <w:rPr>
                  <w:rStyle w:val="Hyperlink"/>
                </w:rPr>
                <w:t xml:space="preserve">Watch</w:t>
              </w:r>
            </w:hyperlink>
          </w:p>
        </w:tc>
      </w:tr>
      <w:tr>
        <w:tc>
          <w:tcPr/>
          <w:p>
            <w:pPr>
              <w:pStyle w:val="Compact"/>
              <w:jc w:val="center"/>
            </w:pPr>
            <w:r>
              <w:t xml:space="preserve">35</w:t>
            </w:r>
          </w:p>
        </w:tc>
        <w:tc>
          <w:tcPr/>
          <w:p>
            <w:pPr>
              <w:pStyle w:val="Compact"/>
              <w:jc w:val="right"/>
            </w:pPr>
            <w:r>
              <w:t xml:space="preserve">36</w:t>
            </w:r>
          </w:p>
        </w:tc>
        <w:tc>
          <w:tcPr/>
          <w:p>
            <w:pPr>
              <w:pStyle w:val="Compact"/>
            </w:pPr>
            <w:r>
              <w:t xml:space="preserve">CI/CD Pipeline Integration</w:t>
            </w:r>
          </w:p>
        </w:tc>
        <w:tc>
          <w:tcPr/>
          <w:p>
            <w:pPr>
              <w:pStyle w:val="Compact"/>
            </w:pPr>
            <w:r>
              <w:t xml:space="preserve">Labels, scopes, and policies as code in git; pipeline-driven API calls keep the CSW tenant in sync.</w:t>
            </w:r>
          </w:p>
        </w:tc>
        <w:tc>
          <w:tcPr/>
          <w:p>
            <w:pPr>
              <w:pStyle w:val="Compact"/>
              <w:jc w:val="center"/>
            </w:pPr>
            <w:hyperlink r:id="rId62">
              <w:r>
                <w:rPr>
                  <w:rStyle w:val="Hyperlink"/>
                </w:rPr>
                <w:t xml:space="preserve">Watch</w:t>
              </w:r>
            </w:hyperlink>
          </w:p>
        </w:tc>
      </w:tr>
    </w:tbl>
    <w:p>
      <w:pPr>
        <w:pStyle w:val="BodyText"/>
      </w:pPr>
      <w:r>
        <w:rPr>
          <w:b/>
          <w:bCs/>
        </w:rPr>
        <w:t xml:space="preserve">Splunk integration — three patterns to plan for in a POV: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What it gives the customer</w:t>
            </w:r>
          </w:p>
        </w:tc>
        <w:tc>
          <w:tcPr/>
          <w:p>
            <w:pPr>
              <w:pStyle w:val="Compact"/>
            </w:pPr>
            <w:r>
              <w:t xml:space="preserve">Effort</w:t>
            </w:r>
          </w:p>
        </w:tc>
      </w:tr>
      <w:tr>
        <w:tc>
          <w:tcPr/>
          <w:p>
            <w:pPr>
              <w:pStyle w:val="Compact"/>
            </w:pPr>
            <w:r>
              <w:t xml:space="preserve">1</w:t>
            </w:r>
          </w:p>
        </w:tc>
        <w:tc>
          <w:tcPr/>
          <w:p>
            <w:pPr>
              <w:pStyle w:val="Compact"/>
            </w:pPr>
            <w:r>
              <w:rPr>
                <w:b/>
                <w:bCs/>
              </w:rPr>
              <w:t xml:space="preserve">Cisco Security Cloud App for Splunk</w:t>
            </w:r>
          </w:p>
        </w:tc>
        <w:tc>
          <w:tcPr/>
          <w:p>
            <w:pPr>
              <w:pStyle w:val="Compact"/>
            </w:pPr>
            <w:r>
              <w:t xml:space="preserve">Install the Cisco-published Splunk app; it reaches back to CSW for a baseline set of datasets and dashboards. Demonstrates value with minimal configuration.</w:t>
            </w:r>
          </w:p>
        </w:tc>
        <w:tc>
          <w:tcPr/>
          <w:p>
            <w:pPr>
              <w:pStyle w:val="Compact"/>
            </w:pPr>
            <w:r>
              <w:t xml:space="preserve">Lowest</w:t>
            </w:r>
          </w:p>
        </w:tc>
      </w:tr>
      <w:tr>
        <w:tc>
          <w:tcPr/>
          <w:p>
            <w:pPr>
              <w:pStyle w:val="Compact"/>
            </w:pPr>
            <w:r>
              <w:t xml:space="preserve">2</w:t>
            </w:r>
          </w:p>
        </w:tc>
        <w:tc>
          <w:tcPr/>
          <w:p>
            <w:pPr>
              <w:pStyle w:val="Compact"/>
            </w:pPr>
            <w:r>
              <w:rPr>
                <w:b/>
                <w:bCs/>
              </w:rPr>
              <w:t xml:space="preserve">CSW → Splunk Syslog alerts</w:t>
            </w:r>
          </w:p>
        </w:tc>
        <w:tc>
          <w:tcPr/>
          <w:p>
            <w:pPr>
              <w:pStyle w:val="Compact"/>
            </w:pPr>
            <w:r>
              <w:t xml:space="preserve">Configure CSW to push alarms / alerts to Splunk over Syslog. SOC sees policy violations, agent-health events, and forensic signals next to the rest of their telemetry.</w:t>
            </w:r>
          </w:p>
        </w:tc>
        <w:tc>
          <w:tcPr/>
          <w:p>
            <w:pPr>
              <w:pStyle w:val="Compact"/>
            </w:pPr>
            <w:r>
              <w:t xml:space="preserve">Low</w:t>
            </w:r>
          </w:p>
        </w:tc>
      </w:tr>
      <w:tr>
        <w:tc>
          <w:tcPr/>
          <w:p>
            <w:pPr>
              <w:pStyle w:val="Compact"/>
            </w:pPr>
            <w:r>
              <w:t xml:space="preserve">3</w:t>
            </w:r>
          </w:p>
        </w:tc>
        <w:tc>
          <w:tcPr/>
          <w:p>
            <w:pPr>
              <w:pStyle w:val="Compact"/>
            </w:pPr>
            <w:r>
              <w:rPr>
                <w:b/>
                <w:bCs/>
              </w:rPr>
              <w:t xml:space="preserve">Splunk → CSW API (Python)</w:t>
            </w:r>
          </w:p>
        </w:tc>
        <w:tc>
          <w:tcPr/>
          <w:p>
            <w:pPr>
              <w:pStyle w:val="Compact"/>
            </w:pPr>
            <w:r>
              <w:t xml:space="preserve">Splunk launches Python scripts against the CSW API. Anything the API exposes — inventory, scopes, labels, policies, enforcement state, vulnerabilities, flow summaries (everything</w:t>
            </w:r>
            <w:r>
              <w:t xml:space="preserve"> </w:t>
            </w:r>
            <w:r>
              <w:rPr>
                <w:b/>
                <w:bCs/>
              </w:rPr>
              <w:t xml:space="preserve">except the raw flow data itself</w:t>
            </w:r>
            <w:r>
              <w:t xml:space="preserve">) — can be pulled into Splunk and indexed, dashboarded, or alerted on. Any CSW API automation already written becomes a Splunk-driven data feed.</w:t>
            </w:r>
          </w:p>
        </w:tc>
        <w:tc>
          <w:tcPr/>
          <w:p>
            <w:pPr>
              <w:pStyle w:val="Compact"/>
            </w:pPr>
            <w:r>
              <w:t xml:space="preserve">Medium → High (custom)</w:t>
            </w:r>
          </w:p>
        </w:tc>
      </w:tr>
    </w:tbl>
    <w:p>
      <w:pPr>
        <w:pStyle w:val="BodyText"/>
      </w:pPr>
      <w:r>
        <w:rPr>
          <w:b/>
          <w:bCs/>
        </w:rPr>
        <w:t xml:space="preserve">POV positioning:</w:t>
      </w:r>
      <w:r>
        <w:t xml:space="preserve"> </w:t>
      </w:r>
      <w:r>
        <w:t xml:space="preserve">start with pattern 1 to prove the integration path is live, layer in pattern 2 so the SOC has alerts in their existing console, and reserve pattern 3 for the "custom dataset" conversation where the customer asks for something the out-of-the-box app does not surface. The pattern 3 ceiling is essentially the CSW API surface itself.</w:t>
      </w:r>
    </w:p>
    <w:p>
      <w:pPr>
        <w:pStyle w:val="BodyText"/>
      </w:pPr>
      <w:r>
        <w:rPr>
          <w:b/>
          <w:bCs/>
        </w:rPr>
        <w:t xml:space="preserve">CI/CD pipeline integration — what it typically wires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Wire-up</w:t>
            </w:r>
          </w:p>
        </w:tc>
        <w:tc>
          <w:tcPr/>
          <w:p>
            <w:pPr>
              <w:pStyle w:val="Compact"/>
            </w:pPr>
            <w:r>
              <w:t xml:space="preserve">What it gives the customer</w:t>
            </w:r>
          </w:p>
        </w:tc>
        <w:tc>
          <w:tcPr/>
          <w:p>
            <w:pPr>
              <w:pStyle w:val="Compact"/>
            </w:pPr>
            <w:r>
              <w:t xml:space="preserve">Where it lands in the runbook</w:t>
            </w:r>
          </w:p>
        </w:tc>
      </w:tr>
      <w:tr>
        <w:tc>
          <w:tcPr/>
          <w:p>
            <w:pPr>
              <w:pStyle w:val="Compact"/>
            </w:pPr>
            <w:r>
              <w:rPr>
                <w:b/>
                <w:bCs/>
              </w:rPr>
              <w:t xml:space="preserve">Policy-as-code</w:t>
            </w:r>
            <w:r>
              <w:t xml:space="preserve"> </w:t>
            </w:r>
            <w:r>
              <w:t xml:space="preserve">— scopes, labels, intent-policy stored in git; pipeline applies via CSW API.</w:t>
            </w:r>
          </w:p>
        </w:tc>
        <w:tc>
          <w:tcPr/>
          <w:p>
            <w:pPr>
              <w:pStyle w:val="Compact"/>
            </w:pPr>
            <w:r>
              <w:t xml:space="preserve">Tenant changes go through code review, not console clicks. Auditable, reviewable, revertable.</w:t>
            </w:r>
          </w:p>
        </w:tc>
        <w:tc>
          <w:tcPr/>
          <w:p>
            <w:pPr>
              <w:pStyle w:val="Compact"/>
            </w:pPr>
            <w:r>
              <w:t xml:space="preserve">§ 8 Phase 8 (Operationalize) — replaces ad-hoc UI changes.</w:t>
            </w:r>
          </w:p>
        </w:tc>
      </w:tr>
      <w:tr>
        <w:tc>
          <w:tcPr/>
          <w:p>
            <w:pPr>
              <w:pStyle w:val="Compact"/>
            </w:pPr>
            <w:r>
              <w:rPr>
                <w:b/>
                <w:bCs/>
              </w:rPr>
              <w:t xml:space="preserve">Promotion across environments</w:t>
            </w:r>
            <w:r>
              <w:t xml:space="preserve"> </w:t>
            </w:r>
            <w:r>
              <w:t xml:space="preserve">— same bundle rolls dev → staging → prod, starting in Monitor mode.</w:t>
            </w:r>
          </w:p>
        </w:tc>
        <w:tc>
          <w:tcPr/>
          <w:p>
            <w:pPr>
              <w:pStyle w:val="Compact"/>
            </w:pPr>
            <w:r>
              <w:t xml:space="preserve">Lower-risk roll-forward; the production change is the same artifact that already passed in lower environments.</w:t>
            </w:r>
          </w:p>
        </w:tc>
        <w:tc>
          <w:tcPr/>
          <w:p>
            <w:pPr>
              <w:pStyle w:val="Compact"/>
            </w:pPr>
            <w:r>
              <w:t xml:space="preserve">§ 8 Phase 6 (Monitor Mode) → Phase 7 (Enforce).</w:t>
            </w:r>
          </w:p>
        </w:tc>
      </w:tr>
      <w:tr>
        <w:tc>
          <w:tcPr/>
          <w:p>
            <w:pPr>
              <w:pStyle w:val="Compact"/>
            </w:pPr>
            <w:r>
              <w:rPr>
                <w:b/>
                <w:bCs/>
              </w:rPr>
              <w:t xml:space="preserve">Label sync from sources of truth</w:t>
            </w:r>
            <w:r>
              <w:t xml:space="preserve"> </w:t>
            </w:r>
            <w:r>
              <w:t xml:space="preserve">— CMDB / cloud tag exports normalized in CI and pushed to CSW.</w:t>
            </w:r>
          </w:p>
        </w:tc>
        <w:tc>
          <w:tcPr/>
          <w:p>
            <w:pPr>
              <w:pStyle w:val="Compact"/>
            </w:pPr>
            <w:r>
              <w:t xml:space="preserve">Labels stay accurate over time without manual upkeep, which is the #1 way label strategies decay.</w:t>
            </w:r>
          </w:p>
        </w:tc>
        <w:tc>
          <w:tcPr/>
          <w:p>
            <w:pPr>
              <w:pStyle w:val="Compact"/>
            </w:pPr>
            <w:r>
              <w:t xml:space="preserve">§ 8 Phase 2 (Build the Label Strategy).</w:t>
            </w:r>
          </w:p>
        </w:tc>
      </w:tr>
      <w:tr>
        <w:tc>
          <w:tcPr/>
          <w:p>
            <w:pPr>
              <w:pStyle w:val="Compact"/>
            </w:pPr>
            <w:r>
              <w:rPr>
                <w:b/>
                <w:bCs/>
              </w:rPr>
              <w:t xml:space="preserve">Drift detection</w:t>
            </w:r>
            <w:r>
              <w:t xml:space="preserve"> </w:t>
            </w:r>
            <w:r>
              <w:t xml:space="preserve">— scheduled job diffs live tenant vs git.</w:t>
            </w:r>
          </w:p>
        </w:tc>
        <w:tc>
          <w:tcPr/>
          <w:p>
            <w:pPr>
              <w:pStyle w:val="Compact"/>
            </w:pPr>
            <w:r>
              <w:t xml:space="preserve">Out-of-band changes get caught and either back-ported to git or rolled back.</w:t>
            </w:r>
          </w:p>
        </w:tc>
        <w:tc>
          <w:tcPr/>
          <w:p>
            <w:pPr>
              <w:pStyle w:val="Compact"/>
            </w:pPr>
            <w:r>
              <w:t xml:space="preserve">§ 8 Phase 8 (Operationalize) — change-process enforcement.</w:t>
            </w:r>
          </w:p>
        </w:tc>
      </w:tr>
      <w:tr>
        <w:tc>
          <w:tcPr/>
          <w:p>
            <w:pPr>
              <w:pStyle w:val="Compact"/>
            </w:pPr>
            <w:r>
              <w:rPr>
                <w:b/>
                <w:bCs/>
              </w:rPr>
              <w:t xml:space="preserve">Same API surface as Splunk pattern 3</w:t>
            </w:r>
            <w:r>
              <w:t xml:space="preserve"> </w:t>
            </w:r>
            <w:r>
              <w:t xml:space="preserve">— Python you already wrote for CSW becomes a pipeline step.</w:t>
            </w:r>
          </w:p>
        </w:tc>
        <w:tc>
          <w:tcPr/>
          <w:p>
            <w:pPr>
              <w:pStyle w:val="Compact"/>
            </w:pPr>
            <w:r>
              <w:t xml:space="preserve">Investment in CSW API automation compounds across SIEM ingestion and CI/CD.</w:t>
            </w:r>
          </w:p>
        </w:tc>
        <w:tc>
          <w:tcPr/>
          <w:p>
            <w:pPr>
              <w:pStyle w:val="Compact"/>
            </w:pPr>
            <w:r>
              <w:t xml:space="preserve">§ 8 Phase 8 — "Build API or CI/CD automation where needed."</w:t>
            </w:r>
          </w:p>
        </w:tc>
      </w:tr>
    </w:tbl>
    <w:p>
      <w:pPr>
        <w:pStyle w:val="BodyText"/>
      </w:pPr>
      <w:r>
        <w:rPr>
          <w:b/>
          <w:bCs/>
        </w:rPr>
        <w:t xml:space="preserve">POV positioning:</w:t>
      </w:r>
      <w:r>
        <w:t xml:space="preserve"> </w:t>
      </w:r>
      <w:r>
        <w:t xml:space="preserve">the CI/CD story usually lands well with cloud / platform teams who already manage everything else as code and bristle at "click here in the console" instructions. Start with policy-as-code for one application scope from the POV — it pairs naturally with the Phase 3 ADM → policy modeling output, since the modeled policy is already structured data.</w:t>
      </w:r>
    </w:p>
    <w:bookmarkEnd w:id="63"/>
    <w:bookmarkStart w:id="65" w:name="X075da46d2c2e8e62f26dd0dd2b1479576f22a39"/>
    <w:p>
      <w:pPr>
        <w:pStyle w:val="Heading3"/>
      </w:pPr>
      <w:r>
        <w:t xml:space="preserve">6.8 Module 8 — Containers and Kubernetes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36</w:t>
            </w:r>
          </w:p>
        </w:tc>
        <w:tc>
          <w:tcPr/>
          <w:p>
            <w:pPr>
              <w:pStyle w:val="Compact"/>
              <w:jc w:val="right"/>
            </w:pPr>
            <w:r>
              <w:t xml:space="preserve">32</w:t>
            </w:r>
          </w:p>
        </w:tc>
        <w:tc>
          <w:tcPr/>
          <w:p>
            <w:pPr>
              <w:pStyle w:val="Compact"/>
            </w:pPr>
            <w:r>
              <w:t xml:space="preserve">Agent K8s</w:t>
            </w:r>
          </w:p>
        </w:tc>
        <w:tc>
          <w:tcPr/>
          <w:p>
            <w:pPr>
              <w:pStyle w:val="Compact"/>
            </w:pPr>
            <w:r>
              <w:t xml:space="preserve">Agent in Kubernetes.</w:t>
            </w:r>
          </w:p>
        </w:tc>
        <w:tc>
          <w:tcPr/>
          <w:p>
            <w:pPr>
              <w:pStyle w:val="Compact"/>
              <w:jc w:val="center"/>
            </w:pPr>
            <w:hyperlink r:id="rId64">
              <w:r>
                <w:rPr>
                  <w:rStyle w:val="Hyperlink"/>
                </w:rPr>
                <w:t xml:space="preserve">Watch</w:t>
              </w:r>
            </w:hyperlink>
          </w:p>
        </w:tc>
      </w:tr>
    </w:tbl>
    <w:p>
      <w:r>
        <w:pict>
          <v:rect style="width:0;height:1.5pt" o:hralign="center" o:hrstd="t" o:hr="t"/>
        </w:pict>
      </w:r>
    </w:p>
    <w:bookmarkEnd w:id="65"/>
    <w:bookmarkEnd w:id="66"/>
    <w:bookmarkStart w:id="70" w:name="Xb9f64f467495bd55447e9bc3c7ae8dd7dbb3895"/>
    <w:p>
      <w:pPr>
        <w:pStyle w:val="Heading2"/>
      </w:pPr>
      <w:r>
        <w:t xml:space="preserve">7. How to Explain CSW in a Customer Meeting</w:t>
      </w:r>
    </w:p>
    <w:bookmarkStart w:id="67"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67"/>
    <w:bookmarkStart w:id="68"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8"/>
    <w:bookmarkStart w:id="69" w:name="common-positioning"/>
    <w:p>
      <w:pPr>
        <w:pStyle w:val="Heading3"/>
      </w:pPr>
      <w:r>
        <w:t xml:space="preserve">Common positioning</w:t>
      </w:r>
    </w:p>
    <w:p>
      <w:pPr>
        <w:pStyle w:val="Compact"/>
        <w:numPr>
          <w:ilvl w:val="0"/>
          <w:numId w:val="1008"/>
        </w:numPr>
      </w:pPr>
      <w:r>
        <w:rPr>
          <w:b/>
          <w:bCs/>
        </w:rPr>
        <w:t xml:space="preserve">For security:</w:t>
      </w:r>
      <w:r>
        <w:t xml:space="preserve"> </w:t>
      </w:r>
      <w:r>
        <w:t xml:space="preserve">Reduce lateral movement and contain high-risk applications.</w:t>
      </w:r>
    </w:p>
    <w:p>
      <w:pPr>
        <w:pStyle w:val="Compact"/>
        <w:numPr>
          <w:ilvl w:val="0"/>
          <w:numId w:val="1008"/>
        </w:numPr>
      </w:pPr>
      <w:r>
        <w:rPr>
          <w:b/>
          <w:bCs/>
        </w:rPr>
        <w:t xml:space="preserve">For network teams:</w:t>
      </w:r>
      <w:r>
        <w:t xml:space="preserve"> </w:t>
      </w:r>
      <w:r>
        <w:t xml:space="preserve">Shift from static IP / subnet rules to workload-aware policy.</w:t>
      </w:r>
    </w:p>
    <w:p>
      <w:pPr>
        <w:pStyle w:val="Compact"/>
        <w:numPr>
          <w:ilvl w:val="0"/>
          <w:numId w:val="1008"/>
        </w:numPr>
      </w:pPr>
      <w:r>
        <w:rPr>
          <w:b/>
          <w:bCs/>
        </w:rPr>
        <w:t xml:space="preserve">For application teams:</w:t>
      </w:r>
      <w:r>
        <w:t xml:space="preserve"> </w:t>
      </w:r>
      <w:r>
        <w:t xml:space="preserve">Discover dependencies before enforcement and avoid unexpected outages.</w:t>
      </w:r>
    </w:p>
    <w:p>
      <w:pPr>
        <w:pStyle w:val="Compact"/>
        <w:numPr>
          <w:ilvl w:val="0"/>
          <w:numId w:val="1008"/>
        </w:numPr>
      </w:pPr>
      <w:r>
        <w:rPr>
          <w:b/>
          <w:bCs/>
        </w:rPr>
        <w:t xml:space="preserve">For cloud teams:</w:t>
      </w:r>
      <w:r>
        <w:t xml:space="preserve"> </w:t>
      </w:r>
      <w:r>
        <w:t xml:space="preserve">Use cloud tags and dynamic metadata so policy follows workloads.</w:t>
      </w:r>
    </w:p>
    <w:p>
      <w:pPr>
        <w:pStyle w:val="Compact"/>
        <w:numPr>
          <w:ilvl w:val="0"/>
          <w:numId w:val="1008"/>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9"/>
    <w:bookmarkEnd w:id="70"/>
    <w:bookmarkStart w:id="80" w:name="X861afc8e8f3d3fa2cbc4317cb6150d80f9f9ccf"/>
    <w:p>
      <w:pPr>
        <w:pStyle w:val="Heading2"/>
      </w:pPr>
      <w:r>
        <w:t xml:space="preserve">8. CSW Onboarding Runbook</w:t>
      </w:r>
    </w:p>
    <w:bookmarkStart w:id="71"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9"/>
        </w:numPr>
      </w:pPr>
      <w:r>
        <w:t xml:space="preserve">Identify the target customer environment: data center, public cloud, containers, or a mix.</w:t>
      </w:r>
    </w:p>
    <w:p>
      <w:pPr>
        <w:pStyle w:val="Compact"/>
        <w:numPr>
          <w:ilvl w:val="0"/>
          <w:numId w:val="1009"/>
        </w:numPr>
      </w:pPr>
      <w:r>
        <w:t xml:space="preserve">Select 2-3 representative applications.</w:t>
      </w:r>
    </w:p>
    <w:p>
      <w:pPr>
        <w:pStyle w:val="Compact"/>
        <w:numPr>
          <w:ilvl w:val="0"/>
          <w:numId w:val="1009"/>
        </w:numPr>
      </w:pPr>
      <w:r>
        <w:t xml:space="preserve">Pick at least one low-risk application and one higher-value application.</w:t>
      </w:r>
    </w:p>
    <w:p>
      <w:pPr>
        <w:pStyle w:val="Compact"/>
        <w:numPr>
          <w:ilvl w:val="0"/>
          <w:numId w:val="1009"/>
        </w:numPr>
      </w:pPr>
      <w:r>
        <w:t xml:space="preserve">Define success criteria:</w:t>
      </w:r>
    </w:p>
    <w:p>
      <w:pPr>
        <w:pStyle w:val="Compact"/>
        <w:numPr>
          <w:ilvl w:val="1"/>
          <w:numId w:val="1010"/>
        </w:numPr>
      </w:pPr>
      <w:r>
        <w:t xml:space="preserve">Flow visibility demonstrated.</w:t>
      </w:r>
    </w:p>
    <w:p>
      <w:pPr>
        <w:pStyle w:val="Compact"/>
        <w:numPr>
          <w:ilvl w:val="1"/>
          <w:numId w:val="1010"/>
        </w:numPr>
      </w:pPr>
      <w:r>
        <w:t xml:space="preserve">Process visibility demonstrated.</w:t>
      </w:r>
    </w:p>
    <w:p>
      <w:pPr>
        <w:pStyle w:val="Compact"/>
        <w:numPr>
          <w:ilvl w:val="1"/>
          <w:numId w:val="1010"/>
        </w:numPr>
      </w:pPr>
      <w:r>
        <w:t xml:space="preserve">Application dependency map reviewed by app owner.</w:t>
      </w:r>
    </w:p>
    <w:p>
      <w:pPr>
        <w:pStyle w:val="Compact"/>
        <w:numPr>
          <w:ilvl w:val="1"/>
          <w:numId w:val="1010"/>
        </w:numPr>
      </w:pPr>
      <w:r>
        <w:t xml:space="preserve">Labels imported or created.</w:t>
      </w:r>
    </w:p>
    <w:p>
      <w:pPr>
        <w:pStyle w:val="Compact"/>
        <w:numPr>
          <w:ilvl w:val="1"/>
          <w:numId w:val="1010"/>
        </w:numPr>
      </w:pPr>
      <w:r>
        <w:t xml:space="preserve">Policy modeled before enforcement.</w:t>
      </w:r>
    </w:p>
    <w:p>
      <w:pPr>
        <w:pStyle w:val="Compact"/>
        <w:numPr>
          <w:ilvl w:val="1"/>
          <w:numId w:val="1010"/>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71"/>
    <w:bookmarkStart w:id="72"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1"/>
        </w:numPr>
      </w:pPr>
      <w:r>
        <w:t xml:space="preserve">Confirm CSW tenant or cluster access.</w:t>
      </w:r>
    </w:p>
    <w:p>
      <w:pPr>
        <w:pStyle w:val="Compact"/>
        <w:numPr>
          <w:ilvl w:val="0"/>
          <w:numId w:val="1011"/>
        </w:numPr>
      </w:pPr>
      <w:r>
        <w:t xml:space="preserve">Create required administrator, operator, and viewer accounts.</w:t>
      </w:r>
    </w:p>
    <w:p>
      <w:pPr>
        <w:pStyle w:val="Compact"/>
        <w:numPr>
          <w:ilvl w:val="0"/>
          <w:numId w:val="1011"/>
        </w:numPr>
      </w:pPr>
      <w:r>
        <w:t xml:space="preserve">Configure SSO / MFA / RBAC if in scope.</w:t>
      </w:r>
    </w:p>
    <w:p>
      <w:pPr>
        <w:pStyle w:val="Compact"/>
        <w:numPr>
          <w:ilvl w:val="0"/>
          <w:numId w:val="1011"/>
        </w:numPr>
      </w:pPr>
      <w:r>
        <w:t xml:space="preserve">Confirm API access if automation or reporting is part of the POV.</w:t>
      </w:r>
    </w:p>
    <w:p>
      <w:pPr>
        <w:pStyle w:val="Compact"/>
        <w:numPr>
          <w:ilvl w:val="0"/>
          <w:numId w:val="1011"/>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72"/>
    <w:bookmarkStart w:id="73"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2"/>
        </w:numPr>
      </w:pPr>
      <w:r>
        <w:t xml:space="preserve">Agree on a minimal label taxonomy.</w:t>
      </w:r>
    </w:p>
    <w:p>
      <w:pPr>
        <w:pStyle w:val="Compact"/>
        <w:numPr>
          <w:ilvl w:val="0"/>
          <w:numId w:val="1012"/>
        </w:numPr>
      </w:pPr>
      <w:r>
        <w:t xml:space="preserve">Map sources for each label: ServiceNow, cloud tags, manual, API, or observed behavior.</w:t>
      </w:r>
    </w:p>
    <w:p>
      <w:pPr>
        <w:pStyle w:val="Compact"/>
        <w:numPr>
          <w:ilvl w:val="0"/>
          <w:numId w:val="1012"/>
        </w:numPr>
      </w:pPr>
      <w:r>
        <w:t xml:space="preserve">Avoid creating too many labels before discovery. Start simple.</w:t>
      </w:r>
    </w:p>
    <w:p>
      <w:pPr>
        <w:pStyle w:val="Compact"/>
        <w:numPr>
          <w:ilvl w:val="0"/>
          <w:numId w:val="1012"/>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73"/>
    <w:bookmarkStart w:id="74"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3"/>
        </w:numPr>
      </w:pPr>
      <w:r>
        <w:t xml:space="preserve">Install CSW agents on selected Linux / Windows workloads.</w:t>
      </w:r>
    </w:p>
    <w:p>
      <w:pPr>
        <w:pStyle w:val="Compact"/>
        <w:numPr>
          <w:ilvl w:val="0"/>
          <w:numId w:val="1013"/>
        </w:numPr>
      </w:pPr>
      <w:r>
        <w:t xml:space="preserve">Confirm agent health and visibility.</w:t>
      </w:r>
    </w:p>
    <w:p>
      <w:pPr>
        <w:pStyle w:val="Compact"/>
        <w:numPr>
          <w:ilvl w:val="0"/>
          <w:numId w:val="1013"/>
        </w:numPr>
      </w:pPr>
      <w:r>
        <w:t xml:space="preserve">Deploy a CSW Edge virtual appliance if connector workloads are required.</w:t>
      </w:r>
    </w:p>
    <w:p>
      <w:pPr>
        <w:pStyle w:val="Compact"/>
        <w:numPr>
          <w:ilvl w:val="0"/>
          <w:numId w:val="1013"/>
        </w:numPr>
      </w:pPr>
      <w:r>
        <w:t xml:space="preserve">Configure ServiceNow connector if CMDB labels are in scope.</w:t>
      </w:r>
    </w:p>
    <w:p>
      <w:pPr>
        <w:pStyle w:val="Compact"/>
        <w:numPr>
          <w:ilvl w:val="0"/>
          <w:numId w:val="1013"/>
        </w:numPr>
      </w:pPr>
      <w:r>
        <w:t xml:space="preserve">Configure cloud connectors if public cloud inventory / tags are in scope.</w:t>
      </w:r>
    </w:p>
    <w:p>
      <w:pPr>
        <w:pStyle w:val="Compact"/>
        <w:numPr>
          <w:ilvl w:val="0"/>
          <w:numId w:val="1013"/>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74"/>
    <w:bookmarkStart w:id="75"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4"/>
        </w:numPr>
      </w:pPr>
      <w:r>
        <w:t xml:space="preserve">Let workloads run through normal business transactions.</w:t>
      </w:r>
    </w:p>
    <w:p>
      <w:pPr>
        <w:pStyle w:val="Compact"/>
        <w:numPr>
          <w:ilvl w:val="0"/>
          <w:numId w:val="1014"/>
        </w:numPr>
      </w:pPr>
      <w:r>
        <w:t xml:space="preserve">Capture L3 / L4 flow data.</w:t>
      </w:r>
    </w:p>
    <w:p>
      <w:pPr>
        <w:pStyle w:val="Compact"/>
        <w:numPr>
          <w:ilvl w:val="0"/>
          <w:numId w:val="1014"/>
        </w:numPr>
      </w:pPr>
      <w:r>
        <w:t xml:space="preserve">Review process-level visibility where supported.</w:t>
      </w:r>
    </w:p>
    <w:p>
      <w:pPr>
        <w:pStyle w:val="Compact"/>
        <w:numPr>
          <w:ilvl w:val="0"/>
          <w:numId w:val="1014"/>
        </w:numPr>
      </w:pPr>
      <w:r>
        <w:t xml:space="preserve">Build application dependency maps.</w:t>
      </w:r>
    </w:p>
    <w:p>
      <w:pPr>
        <w:pStyle w:val="Compact"/>
        <w:numPr>
          <w:ilvl w:val="0"/>
          <w:numId w:val="1014"/>
        </w:numPr>
      </w:pPr>
      <w:r>
        <w:t xml:space="preserve">Review dependencies with application owners.</w:t>
      </w:r>
    </w:p>
    <w:p>
      <w:pPr>
        <w:pStyle w:val="Compact"/>
        <w:numPr>
          <w:ilvl w:val="0"/>
          <w:numId w:val="1014"/>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75"/>
    <w:bookmarkStart w:id="76"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5"/>
        </w:numPr>
      </w:pPr>
      <w:r>
        <w:t xml:space="preserve">Use observed flows and labels to create recommended allow rules.</w:t>
      </w:r>
    </w:p>
    <w:p>
      <w:pPr>
        <w:pStyle w:val="Compact"/>
        <w:numPr>
          <w:ilvl w:val="0"/>
          <w:numId w:val="1015"/>
        </w:numPr>
      </w:pPr>
      <w:r>
        <w:t xml:space="preserve">Group policy by application tiers where possible.</w:t>
      </w:r>
    </w:p>
    <w:p>
      <w:pPr>
        <w:pStyle w:val="Compact"/>
        <w:numPr>
          <w:ilvl w:val="0"/>
          <w:numId w:val="1015"/>
        </w:numPr>
      </w:pPr>
      <w:r>
        <w:t xml:space="preserve">Identify required shared services such as DNS, NTP, authentication, logging, monitoring, backup, and patching.</w:t>
      </w:r>
    </w:p>
    <w:p>
      <w:pPr>
        <w:pStyle w:val="Compact"/>
        <w:numPr>
          <w:ilvl w:val="0"/>
          <w:numId w:val="1015"/>
        </w:numPr>
      </w:pPr>
      <w:r>
        <w:t xml:space="preserve">Model the policy before enforcement.</w:t>
      </w:r>
    </w:p>
    <w:p>
      <w:pPr>
        <w:pStyle w:val="Compact"/>
        <w:numPr>
          <w:ilvl w:val="0"/>
          <w:numId w:val="1015"/>
        </w:numPr>
      </w:pPr>
      <w:r>
        <w:t xml:space="preserve">Review predicted blocked flows with application and operations teams.</w:t>
      </w:r>
    </w:p>
    <w:p>
      <w:pPr>
        <w:pStyle w:val="Compact"/>
        <w:numPr>
          <w:ilvl w:val="0"/>
          <w:numId w:val="1015"/>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76"/>
    <w:bookmarkStart w:id="77"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6"/>
        </w:numPr>
      </w:pPr>
      <w:r>
        <w:t xml:space="preserve">Apply policy in monitor or non-blocking mode where supported.</w:t>
      </w:r>
    </w:p>
    <w:p>
      <w:pPr>
        <w:pStyle w:val="Compact"/>
        <w:numPr>
          <w:ilvl w:val="0"/>
          <w:numId w:val="1016"/>
        </w:numPr>
      </w:pPr>
      <w:r>
        <w:t xml:space="preserve">Run application test transactions.</w:t>
      </w:r>
    </w:p>
    <w:p>
      <w:pPr>
        <w:pStyle w:val="Compact"/>
        <w:numPr>
          <w:ilvl w:val="0"/>
          <w:numId w:val="1016"/>
        </w:numPr>
      </w:pPr>
      <w:r>
        <w:t xml:space="preserve">Review policy violations and unexpected flows.</w:t>
      </w:r>
    </w:p>
    <w:p>
      <w:pPr>
        <w:pStyle w:val="Compact"/>
        <w:numPr>
          <w:ilvl w:val="0"/>
          <w:numId w:val="1016"/>
        </w:numPr>
      </w:pPr>
      <w:r>
        <w:t xml:space="preserve">Update labels or policy rules as needed.</w:t>
      </w:r>
    </w:p>
    <w:p>
      <w:pPr>
        <w:pStyle w:val="Compact"/>
        <w:numPr>
          <w:ilvl w:val="0"/>
          <w:numId w:val="1016"/>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77"/>
    <w:bookmarkStart w:id="78"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7"/>
        </w:numPr>
      </w:pPr>
      <w:r>
        <w:t xml:space="preserve">Select a small enforcement scope.</w:t>
      </w:r>
    </w:p>
    <w:p>
      <w:pPr>
        <w:pStyle w:val="Compact"/>
        <w:numPr>
          <w:ilvl w:val="0"/>
          <w:numId w:val="1017"/>
        </w:numPr>
      </w:pPr>
      <w:r>
        <w:t xml:space="preserve">Schedule a change window.</w:t>
      </w:r>
    </w:p>
    <w:p>
      <w:pPr>
        <w:pStyle w:val="Compact"/>
        <w:numPr>
          <w:ilvl w:val="0"/>
          <w:numId w:val="1017"/>
        </w:numPr>
      </w:pPr>
      <w:r>
        <w:t xml:space="preserve">Confirm rollback plan.</w:t>
      </w:r>
    </w:p>
    <w:p>
      <w:pPr>
        <w:pStyle w:val="Compact"/>
        <w:numPr>
          <w:ilvl w:val="0"/>
          <w:numId w:val="1017"/>
        </w:numPr>
      </w:pPr>
      <w:r>
        <w:t xml:space="preserve">Move selected workloads to enforcement.</w:t>
      </w:r>
    </w:p>
    <w:p>
      <w:pPr>
        <w:pStyle w:val="Compact"/>
        <w:numPr>
          <w:ilvl w:val="0"/>
          <w:numId w:val="1017"/>
        </w:numPr>
      </w:pPr>
      <w:r>
        <w:t xml:space="preserve">Test allowed traffic.</w:t>
      </w:r>
    </w:p>
    <w:p>
      <w:pPr>
        <w:pStyle w:val="Compact"/>
        <w:numPr>
          <w:ilvl w:val="0"/>
          <w:numId w:val="1017"/>
        </w:numPr>
      </w:pPr>
      <w:r>
        <w:t xml:space="preserve">Test intentionally denied traffic.</w:t>
      </w:r>
    </w:p>
    <w:p>
      <w:pPr>
        <w:pStyle w:val="Compact"/>
        <w:numPr>
          <w:ilvl w:val="0"/>
          <w:numId w:val="1017"/>
        </w:numPr>
      </w:pPr>
      <w:r>
        <w:t xml:space="preserve">Confirm logs, alarms, and reports show the expected result.</w:t>
      </w:r>
    </w:p>
    <w:p>
      <w:pPr>
        <w:pStyle w:val="Compact"/>
        <w:numPr>
          <w:ilvl w:val="0"/>
          <w:numId w:val="1017"/>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8"/>
    <w:bookmarkStart w:id="79"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8"/>
        </w:numPr>
      </w:pPr>
      <w:r>
        <w:t xml:space="preserve">Define ownership for labels, scopes, and policies.</w:t>
      </w:r>
    </w:p>
    <w:p>
      <w:pPr>
        <w:pStyle w:val="Compact"/>
        <w:numPr>
          <w:ilvl w:val="0"/>
          <w:numId w:val="1018"/>
        </w:numPr>
      </w:pPr>
      <w:r>
        <w:t xml:space="preserve">Document policy change process.</w:t>
      </w:r>
    </w:p>
    <w:p>
      <w:pPr>
        <w:pStyle w:val="Compact"/>
        <w:numPr>
          <w:ilvl w:val="0"/>
          <w:numId w:val="1018"/>
        </w:numPr>
      </w:pPr>
      <w:r>
        <w:t xml:space="preserve">Integrate logs / alarms with SIEM or SOAR if in scope.</w:t>
      </w:r>
    </w:p>
    <w:p>
      <w:pPr>
        <w:pStyle w:val="Compact"/>
        <w:numPr>
          <w:ilvl w:val="0"/>
          <w:numId w:val="1018"/>
        </w:numPr>
      </w:pPr>
      <w:r>
        <w:t xml:space="preserve">Create recurring policy review cadence.</w:t>
      </w:r>
    </w:p>
    <w:p>
      <w:pPr>
        <w:pStyle w:val="Compact"/>
        <w:numPr>
          <w:ilvl w:val="0"/>
          <w:numId w:val="1018"/>
        </w:numPr>
      </w:pPr>
      <w:r>
        <w:t xml:space="preserve">Build API or CI/CD automation where needed.</w:t>
      </w:r>
      <w:r>
        <w:t xml:space="preserve"> </w:t>
      </w:r>
      <w:r>
        <w:rPr>
          <w:i/>
          <w:iCs/>
        </w:rPr>
        <w:t xml:space="preserve">(See § 6.7 Module 7 — Integrations for the CI/CD pipeline patterns: policy-as-code, environment promotion, label sync, and drift detection.)</w:t>
      </w:r>
    </w:p>
    <w:p>
      <w:pPr>
        <w:pStyle w:val="Compact"/>
        <w:numPr>
          <w:ilvl w:val="0"/>
          <w:numId w:val="1018"/>
        </w:numPr>
      </w:pPr>
      <w:r>
        <w:t xml:space="preserve">Define exception handling for unsupported workloads.</w:t>
      </w:r>
    </w:p>
    <w:p>
      <w:pPr>
        <w:pStyle w:val="Compact"/>
        <w:numPr>
          <w:ilvl w:val="0"/>
          <w:numId w:val="1018"/>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9"/>
    <w:bookmarkEnd w:id="80"/>
    <w:bookmarkStart w:id="81"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9"/>
        </w:numPr>
      </w:pPr>
      <w:r>
        <w:t xml:space="preserve">Which business application should be used for the first dependency map?</w:t>
      </w:r>
    </w:p>
    <w:p>
      <w:pPr>
        <w:pStyle w:val="Compact"/>
        <w:numPr>
          <w:ilvl w:val="0"/>
          <w:numId w:val="1019"/>
        </w:numPr>
      </w:pPr>
      <w:r>
        <w:t xml:space="preserve">Which application owner can validate the map?</w:t>
      </w:r>
    </w:p>
    <w:p>
      <w:pPr>
        <w:pStyle w:val="Compact"/>
        <w:numPr>
          <w:ilvl w:val="0"/>
          <w:numId w:val="1019"/>
        </w:numPr>
      </w:pPr>
      <w:r>
        <w:t xml:space="preserve">Which environments are in scope: prod, non-prod, dev, test?</w:t>
      </w:r>
    </w:p>
    <w:p>
      <w:pPr>
        <w:pStyle w:val="Compact"/>
        <w:numPr>
          <w:ilvl w:val="0"/>
          <w:numId w:val="1019"/>
        </w:numPr>
      </w:pPr>
      <w:r>
        <w:t xml:space="preserve">Which platforms are in scope: VMware, bare metal, public cloud, containers?</w:t>
      </w:r>
    </w:p>
    <w:p>
      <w:pPr>
        <w:pStyle w:val="Compact"/>
        <w:numPr>
          <w:ilvl w:val="0"/>
          <w:numId w:val="1019"/>
        </w:numPr>
      </w:pPr>
      <w:r>
        <w:t xml:space="preserve">Which operating systems are in scope?</w:t>
      </w:r>
    </w:p>
    <w:p>
      <w:pPr>
        <w:pStyle w:val="Compact"/>
        <w:numPr>
          <w:ilvl w:val="0"/>
          <w:numId w:val="1019"/>
        </w:numPr>
      </w:pPr>
      <w:r>
        <w:t xml:space="preserve">Is ServiceNow the CMDB source of truth?</w:t>
      </w:r>
    </w:p>
    <w:p>
      <w:pPr>
        <w:pStyle w:val="Compact"/>
        <w:numPr>
          <w:ilvl w:val="0"/>
          <w:numId w:val="1019"/>
        </w:numPr>
      </w:pPr>
      <w:r>
        <w:t xml:space="preserve">Are cloud tags clean enough to use as labels?</w:t>
      </w:r>
    </w:p>
    <w:p>
      <w:pPr>
        <w:pStyle w:val="Compact"/>
        <w:numPr>
          <w:ilvl w:val="0"/>
          <w:numId w:val="1019"/>
        </w:numPr>
      </w:pPr>
      <w:r>
        <w:t xml:space="preserve">Is MFA / SSO required for CSW administrator access?</w:t>
      </w:r>
    </w:p>
    <w:p>
      <w:pPr>
        <w:pStyle w:val="Compact"/>
        <w:numPr>
          <w:ilvl w:val="0"/>
          <w:numId w:val="1019"/>
        </w:numPr>
      </w:pPr>
      <w:r>
        <w:t xml:space="preserve">Are agents allowed on the selected workloads?</w:t>
      </w:r>
    </w:p>
    <w:p>
      <w:pPr>
        <w:pStyle w:val="Compact"/>
        <w:numPr>
          <w:ilvl w:val="0"/>
          <w:numId w:val="1019"/>
        </w:numPr>
      </w:pPr>
      <w:r>
        <w:t xml:space="preserve">Is enforcement part of the POV, or visibility-only?</w:t>
      </w:r>
    </w:p>
    <w:p>
      <w:pPr>
        <w:pStyle w:val="Compact"/>
        <w:numPr>
          <w:ilvl w:val="0"/>
          <w:numId w:val="1019"/>
        </w:numPr>
      </w:pPr>
      <w:r>
        <w:t xml:space="preserve">What is the rollback process for policy enforcement?</w:t>
      </w:r>
    </w:p>
    <w:p>
      <w:pPr>
        <w:pStyle w:val="Compact"/>
        <w:numPr>
          <w:ilvl w:val="0"/>
          <w:numId w:val="1019"/>
        </w:numPr>
      </w:pPr>
      <w:r>
        <w:t xml:space="preserve">Which SIEM / SOAR tools should receive alarms or logs?</w:t>
      </w:r>
      <w:r>
        <w:t xml:space="preserve"> </w:t>
      </w:r>
      <w:r>
        <w:rPr>
          <w:i/>
          <w:iCs/>
        </w:rPr>
        <w:t xml:space="preserve">(If Splunk: confirm interest in the Cisco Security Cloud App, Syslog alert forwarding, and/or Python-driven API ingestion — see § 6.7 Module 7.)</w:t>
      </w:r>
    </w:p>
    <w:p>
      <w:pPr>
        <w:pStyle w:val="Compact"/>
        <w:numPr>
          <w:ilvl w:val="0"/>
          <w:numId w:val="1019"/>
        </w:numPr>
      </w:pPr>
      <w:r>
        <w:t xml:space="preserve">What vulnerability scanner or risk source should be used for high-risk labels?</w:t>
      </w:r>
    </w:p>
    <w:p>
      <w:pPr>
        <w:pStyle w:val="Compact"/>
        <w:numPr>
          <w:ilvl w:val="0"/>
          <w:numId w:val="1019"/>
        </w:numPr>
      </w:pPr>
      <w:r>
        <w:t xml:space="preserve">Who approves policy changes?</w:t>
      </w:r>
    </w:p>
    <w:p>
      <w:pPr>
        <w:pStyle w:val="Compact"/>
        <w:numPr>
          <w:ilvl w:val="0"/>
          <w:numId w:val="1019"/>
        </w:numPr>
      </w:pPr>
      <w:r>
        <w:t xml:space="preserve">What evidence does the customer need at the end of the POV?</w:t>
      </w:r>
    </w:p>
    <w:p>
      <w:r>
        <w:pict>
          <v:rect style="width:0;height:1.5pt" o:hralign="center" o:hrstd="t" o:hr="t"/>
        </w:pict>
      </w:r>
    </w:p>
    <w:bookmarkEnd w:id="81"/>
    <w:bookmarkStart w:id="82"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 (for Splunk: Cisco Security Cloud App dashboard panel, a CSW Syslog alert in the indexer, or a Python-pulled CSW API dataset)</w:t>
            </w:r>
          </w:p>
        </w:tc>
      </w:tr>
    </w:tbl>
    <w:p>
      <w:r>
        <w:pict>
          <v:rect style="width:0;height:1.5pt" o:hralign="center" o:hrstd="t" o:hr="t"/>
        </w:pict>
      </w:r>
    </w:p>
    <w:bookmarkEnd w:id="82"/>
    <w:bookmarkStart w:id="83"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83"/>
    <w:bookmarkStart w:id="84"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20"/>
        </w:numPr>
      </w:pPr>
      <w:r>
        <w:rPr>
          <w:b/>
          <w:bCs/>
        </w:rPr>
        <w:t xml:space="preserve">Start with the risk:</w:t>
      </w:r>
      <w:r>
        <w:t xml:space="preserve"> </w:t>
      </w:r>
      <w:r>
        <w:t xml:space="preserve">Attackers move laterally after initial compromise. Flat networks make that easier.</w:t>
      </w:r>
    </w:p>
    <w:p>
      <w:pPr>
        <w:pStyle w:val="Compact"/>
        <w:numPr>
          <w:ilvl w:val="0"/>
          <w:numId w:val="1020"/>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20"/>
        </w:numPr>
      </w:pPr>
      <w:r>
        <w:rPr>
          <w:b/>
          <w:bCs/>
        </w:rPr>
        <w:t xml:space="preserve">Position CSW:</w:t>
      </w:r>
      <w:r>
        <w:t xml:space="preserve"> </w:t>
      </w:r>
      <w:r>
        <w:t xml:space="preserve">CSW discovers dependencies first, then models policy, then enforces gradually.</w:t>
      </w:r>
    </w:p>
    <w:p>
      <w:pPr>
        <w:pStyle w:val="Compact"/>
        <w:numPr>
          <w:ilvl w:val="0"/>
          <w:numId w:val="1020"/>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20"/>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84"/>
    <w:bookmarkStart w:id="88" w:name="X79e47e825b80098b108f07de62e27975790b823"/>
    <w:p>
      <w:pPr>
        <w:pStyle w:val="Heading2"/>
      </w:pPr>
      <w:r>
        <w:t xml:space="preserve">13. Companion Repositories for Deeper Learning</w:t>
      </w:r>
    </w:p>
    <w:p>
      <w:pPr>
        <w:pStyle w:val="FirstParagraph"/>
      </w:pPr>
      <w:r>
        <w:t xml:space="preserve">This guide is the educational front door. Once a reader is comfortable with the concepts and the video library, the repositories below pick up where this guide ends. They are listed in the order most learners hit them: install agents, run the policy lifecycle, then map it all to compliance frameworks.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When you reach for it</w:t>
            </w:r>
          </w:p>
        </w:tc>
      </w:tr>
      <w:tr>
        <w:tc>
          <w:tcPr/>
          <w:p>
            <w:pPr>
              <w:pStyle w:val="Compact"/>
            </w:pPr>
            <w:hyperlink r:id="rId85">
              <w:r>
                <w:rPr>
                  <w:rStyle w:val="Hyperlink"/>
                </w:rPr>
                <w:t xml:space="preserve">chandrapati/CSW-Agent-Installation-Guide</w:t>
              </w:r>
            </w:hyperlink>
          </w:p>
        </w:tc>
        <w:tc>
          <w:tcPr/>
          <w:p>
            <w:pPr>
              <w:pStyle w:val="Compact"/>
            </w:pPr>
            <w:r>
              <w:t xml:space="preserve">Right after this guide, when it is time to actually install and operate the CSW host agent on Linux, Windows, cloud, container, or agentless workloads.</w:t>
            </w:r>
          </w:p>
        </w:tc>
      </w:tr>
      <w:tr>
        <w:tc>
          <w:tcPr/>
          <w:p>
            <w:pPr>
              <w:pStyle w:val="Compact"/>
            </w:pPr>
            <w:hyperlink r:id="rId86">
              <w:r>
                <w:rPr>
                  <w:rStyle w:val="Hyperlink"/>
                </w:rPr>
                <w:t xml:space="preserve">chandrapati/CSW-Policy-Lifecycle</w:t>
              </w:r>
            </w:hyperlink>
          </w:p>
        </w:tc>
        <w:tc>
          <w:tcPr/>
          <w:p>
            <w:pPr>
              <w:pStyle w:val="Compact"/>
            </w:pPr>
            <w:r>
              <w:t xml:space="preserve">When you move from "I understand policy" (covered here) to running the full lifecycle in a tenant: discovery (ADM) → analysis → enforcement (Monitor → Simulate → Enforce) → day-2 operations.</w:t>
            </w:r>
          </w:p>
        </w:tc>
      </w:tr>
      <w:tr>
        <w:tc>
          <w:tcPr/>
          <w:p>
            <w:pPr>
              <w:pStyle w:val="Compact"/>
            </w:pPr>
            <w:hyperlink r:id="rId14">
              <w:r>
                <w:rPr>
                  <w:rStyle w:val="Hyperlink"/>
                </w:rPr>
                <w:t xml:space="preserve">chandrapati/CSW-Compliance-Mapping</w:t>
              </w:r>
            </w:hyperlink>
          </w:p>
        </w:tc>
        <w:tc>
          <w:tcPr/>
          <w:p>
            <w:pPr>
              <w:pStyle w:val="Compact"/>
            </w:pPr>
            <w:r>
              <w:t xml:space="preserve">When a customer or auditor asks "how does CSW support framework X?" — covers HIPAA, SOC 2, PCI DSS v4, NIST 800-53, ISO 27001:2022, CISA ZTMM, FIPS 140, NIST 800-207/207A, DORA, NIS2, NERC CIP, TSA Pipeline, CIS Controls v8.1, NIST CSF 2.0, CMMC 2.0, and more.</w:t>
            </w:r>
          </w:p>
        </w:tc>
      </w:tr>
    </w:tbl>
    <w:p>
      <w:pPr>
        <w:pStyle w:val="BodyText"/>
      </w:pPr>
      <w:r>
        <w:t xml:space="preserve">For the full list of related Cisco Secure Workload repositories — including POV templates, blast-radius demo, tenant insights, and SE helpers — see the</w:t>
      </w:r>
      <w:r>
        <w:t xml:space="preserve"> </w:t>
      </w:r>
      <w:r>
        <w:rPr>
          <w:b/>
          <w:bCs/>
        </w:rPr>
        <w:t xml:space="preserve">Related Cisco Secure Workload Repositories</w:t>
      </w:r>
      <w:r>
        <w:t xml:space="preserve"> </w:t>
      </w:r>
      <w:r>
        <w:t xml:space="preserve">section in this repo's</w:t>
      </w:r>
      <w:r>
        <w:t xml:space="preserve"> </w:t>
      </w:r>
      <w:hyperlink r:id="rId87">
        <w:r>
          <w:rPr>
            <w:rStyle w:val="Hyperlink"/>
          </w:rPr>
          <w:t xml:space="preserve">README</w:t>
        </w:r>
      </w:hyperlink>
      <w:r>
        <w:t xml:space="preserve">.</w:t>
      </w:r>
    </w:p>
    <w:p>
      <w:r>
        <w:pict>
          <v:rect style="width:0;height:1.5pt" o:hralign="center" o:hrstd="t" o:hr="t"/>
        </w:pic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7" Target="../../README.md#related-cisco-secure-workload-repositories" TargetMode="External" /><Relationship Type="http://schemas.openxmlformats.org/officeDocument/2006/relationships/hyperlink" Id="rId27" Target="WFP-Design.docx" TargetMode="External" /><Relationship Type="http://schemas.openxmlformats.org/officeDocument/2006/relationships/hyperlink" Id="rId85" Target="https://github.com/chandrapati/CSW-Agent-Installation-Guide" TargetMode="External" /><Relationship Type="http://schemas.openxmlformats.org/officeDocument/2006/relationships/hyperlink" Id="rId14" Target="https://github.com/chandrapati/CSW-Compliance-Mapping" TargetMode="External" /><Relationship Type="http://schemas.openxmlformats.org/officeDocument/2006/relationships/hyperlink" Id="rId86" Target="https://github.com/chandrapati/CSW-Policy-Lifecycle" TargetMode="External" /><Relationship Type="http://schemas.openxmlformats.org/officeDocument/2006/relationships/hyperlink" Id="rId51" Target="https://secure.cisco.com/secure-workload/docs/secure-workload-whitepaper" TargetMode="External" /><Relationship Type="http://schemas.openxmlformats.org/officeDocument/2006/relationships/hyperlink" Id="rId50" Target="https://www.cisco.com/c/en/us/products/collateral/security/secure-workload/sec-workload-firewall-wp.html" TargetMode="External" /><Relationship Type="http://schemas.openxmlformats.org/officeDocument/2006/relationships/hyperlink" Id="rId62" Target="https://www.youtube.com/watch?v=0wsSA69ol0M" TargetMode="External" /><Relationship Type="http://schemas.openxmlformats.org/officeDocument/2006/relationships/hyperlink" Id="rId21" Target="https://www.youtube.com/watch?v=3KBmanCNm4U" TargetMode="External" /><Relationship Type="http://schemas.openxmlformats.org/officeDocument/2006/relationships/hyperlink" Id="rId25" Target="https://www.youtube.com/watch?v=4mFriUr4WHk" TargetMode="External" /><Relationship Type="http://schemas.openxmlformats.org/officeDocument/2006/relationships/hyperlink" Id="rId32" Target="https://www.youtube.com/watch?v=Aajlx7JT2G4" TargetMode="External" /><Relationship Type="http://schemas.openxmlformats.org/officeDocument/2006/relationships/hyperlink" Id="rId41" Target="https://www.youtube.com/watch?v=FTXsWtFUJZM" TargetMode="External" /><Relationship Type="http://schemas.openxmlformats.org/officeDocument/2006/relationships/hyperlink" Id="rId57" Target="https://www.youtube.com/watch?v=FUyESTLLZE8" TargetMode="External" /><Relationship Type="http://schemas.openxmlformats.org/officeDocument/2006/relationships/hyperlink" Id="rId29" Target="https://www.youtube.com/watch?v=HKT18Ylt4IY" TargetMode="External" /><Relationship Type="http://schemas.openxmlformats.org/officeDocument/2006/relationships/hyperlink" Id="rId53" Target="https://www.youtube.com/watch?v=HcF3yQHmeXc" TargetMode="External" /><Relationship Type="http://schemas.openxmlformats.org/officeDocument/2006/relationships/hyperlink" Id="rId31" Target="https://www.youtube.com/watch?v=Jzzblea25UA" TargetMode="External" /><Relationship Type="http://schemas.openxmlformats.org/officeDocument/2006/relationships/hyperlink" Id="rId58" Target="https://www.youtube.com/watch?v=KUJfuuhP1dc" TargetMode="External" /><Relationship Type="http://schemas.openxmlformats.org/officeDocument/2006/relationships/hyperlink" Id="rId26" Target="https://www.youtube.com/watch?v=LYHnU_QjKfI" TargetMode="External" /><Relationship Type="http://schemas.openxmlformats.org/officeDocument/2006/relationships/hyperlink" Id="rId22" Target="https://www.youtube.com/watch?v=NLoZq0wiTU8" TargetMode="External" /><Relationship Type="http://schemas.openxmlformats.org/officeDocument/2006/relationships/hyperlink" Id="rId40" Target="https://www.youtube.com/watch?v=RV7To1MF6Es" TargetMode="External" /><Relationship Type="http://schemas.openxmlformats.org/officeDocument/2006/relationships/hyperlink" Id="rId45" Target="https://www.youtube.com/watch?v=SFVjiPQFsYA" TargetMode="External" /><Relationship Type="http://schemas.openxmlformats.org/officeDocument/2006/relationships/hyperlink" Id="rId30" Target="https://www.youtube.com/watch?v=Tuw06kPjeyQ" TargetMode="External" /><Relationship Type="http://schemas.openxmlformats.org/officeDocument/2006/relationships/hyperlink" Id="rId35" Target="https://www.youtube.com/watch?v=UwUJnEMZoTk" TargetMode="External" /><Relationship Type="http://schemas.openxmlformats.org/officeDocument/2006/relationships/hyperlink" Id="rId49" Target="https://www.youtube.com/watch?v=X65mwN7kJGg&amp;t=53s" TargetMode="External" /><Relationship Type="http://schemas.openxmlformats.org/officeDocument/2006/relationships/hyperlink" Id="rId42" Target="https://www.youtube.com/watch?v=ZPBcj4e6M34" TargetMode="External" /><Relationship Type="http://schemas.openxmlformats.org/officeDocument/2006/relationships/hyperlink" Id="rId38" Target="https://www.youtube.com/watch?v=_faK3p9tN4A" TargetMode="External" /><Relationship Type="http://schemas.openxmlformats.org/officeDocument/2006/relationships/hyperlink" Id="rId54" Target="https://www.youtube.com/watch?v=aJZEcZtUXDg" TargetMode="External" /><Relationship Type="http://schemas.openxmlformats.org/officeDocument/2006/relationships/hyperlink" Id="rId52" Target="https://www.youtube.com/watch?v=dqbWhvFNsso&amp;t=90s" TargetMode="External" /><Relationship Type="http://schemas.openxmlformats.org/officeDocument/2006/relationships/hyperlink" Id="rId23" Target="https://www.youtube.com/watch?v=fJd6V15UiZM" TargetMode="External" /><Relationship Type="http://schemas.openxmlformats.org/officeDocument/2006/relationships/hyperlink" Id="rId56" Target="https://www.youtube.com/watch?v=gdhMWviAZig" TargetMode="External" /><Relationship Type="http://schemas.openxmlformats.org/officeDocument/2006/relationships/hyperlink" Id="rId64" Target="https://www.youtube.com/watch?v=h9PW25UhXKs" TargetMode="External" /><Relationship Type="http://schemas.openxmlformats.org/officeDocument/2006/relationships/hyperlink" Id="rId55" Target="https://www.youtube.com/watch?v=hD0WpBRLCiM" TargetMode="External" /><Relationship Type="http://schemas.openxmlformats.org/officeDocument/2006/relationships/hyperlink" Id="rId36" Target="https://www.youtube.com/watch?v=kvnAoT5ZYXl" TargetMode="External" /><Relationship Type="http://schemas.openxmlformats.org/officeDocument/2006/relationships/hyperlink" Id="rId39" Target="https://www.youtube.com/watch?v=l7LwZHXBYUA" TargetMode="External" /><Relationship Type="http://schemas.openxmlformats.org/officeDocument/2006/relationships/hyperlink" Id="rId44" Target="https://www.youtube.com/watch?v=pfv42g3FJEk" TargetMode="External" /><Relationship Type="http://schemas.openxmlformats.org/officeDocument/2006/relationships/hyperlink" Id="rId60" Target="https://www.youtube.com/watch?v=u7jh3Zw1hlg" TargetMode="External" /><Relationship Type="http://schemas.openxmlformats.org/officeDocument/2006/relationships/hyperlink" Id="rId33" Target="https://www.youtube.com/watch?v=uBxrJaVLHy4" TargetMode="External" /><Relationship Type="http://schemas.openxmlformats.org/officeDocument/2006/relationships/hyperlink" Id="rId48" Target="https://www.youtube.com/watch?v=xpbg3s0vrcI" TargetMode="External" /><Relationship Type="http://schemas.openxmlformats.org/officeDocument/2006/relationships/hyperlink" Id="rId59" Target="https://youtu.be/13AZ33dpCxU" TargetMode="External" /><Relationship Type="http://schemas.openxmlformats.org/officeDocument/2006/relationships/hyperlink" Id="rId61" Target="https://youtu.be/CRnkH9imTZk" TargetMode="External" /><Relationship Type="http://schemas.openxmlformats.org/officeDocument/2006/relationships/hyperlink" Id="rId47"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87" Target="../../README.md#related-cisco-secure-workload-repositories" TargetMode="External" /><Relationship Type="http://schemas.openxmlformats.org/officeDocument/2006/relationships/hyperlink" Id="rId27" Target="WFP-Design.docx" TargetMode="External" /><Relationship Type="http://schemas.openxmlformats.org/officeDocument/2006/relationships/hyperlink" Id="rId85" Target="https://github.com/chandrapati/CSW-Agent-Installation-Guide" TargetMode="External" /><Relationship Type="http://schemas.openxmlformats.org/officeDocument/2006/relationships/hyperlink" Id="rId14" Target="https://github.com/chandrapati/CSW-Compliance-Mapping" TargetMode="External" /><Relationship Type="http://schemas.openxmlformats.org/officeDocument/2006/relationships/hyperlink" Id="rId86" Target="https://github.com/chandrapati/CSW-Policy-Lifecycle" TargetMode="External" /><Relationship Type="http://schemas.openxmlformats.org/officeDocument/2006/relationships/hyperlink" Id="rId51" Target="https://secure.cisco.com/secure-workload/docs/secure-workload-whitepaper" TargetMode="External" /><Relationship Type="http://schemas.openxmlformats.org/officeDocument/2006/relationships/hyperlink" Id="rId50" Target="https://www.cisco.com/c/en/us/products/collateral/security/secure-workload/sec-workload-firewall-wp.html" TargetMode="External" /><Relationship Type="http://schemas.openxmlformats.org/officeDocument/2006/relationships/hyperlink" Id="rId62" Target="https://www.youtube.com/watch?v=0wsSA69ol0M" TargetMode="External" /><Relationship Type="http://schemas.openxmlformats.org/officeDocument/2006/relationships/hyperlink" Id="rId21" Target="https://www.youtube.com/watch?v=3KBmanCNm4U" TargetMode="External" /><Relationship Type="http://schemas.openxmlformats.org/officeDocument/2006/relationships/hyperlink" Id="rId25" Target="https://www.youtube.com/watch?v=4mFriUr4WHk" TargetMode="External" /><Relationship Type="http://schemas.openxmlformats.org/officeDocument/2006/relationships/hyperlink" Id="rId32" Target="https://www.youtube.com/watch?v=Aajlx7JT2G4" TargetMode="External" /><Relationship Type="http://schemas.openxmlformats.org/officeDocument/2006/relationships/hyperlink" Id="rId41" Target="https://www.youtube.com/watch?v=FTXsWtFUJZM" TargetMode="External" /><Relationship Type="http://schemas.openxmlformats.org/officeDocument/2006/relationships/hyperlink" Id="rId57" Target="https://www.youtube.com/watch?v=FUyESTLLZE8" TargetMode="External" /><Relationship Type="http://schemas.openxmlformats.org/officeDocument/2006/relationships/hyperlink" Id="rId29" Target="https://www.youtube.com/watch?v=HKT18Ylt4IY" TargetMode="External" /><Relationship Type="http://schemas.openxmlformats.org/officeDocument/2006/relationships/hyperlink" Id="rId53" Target="https://www.youtube.com/watch?v=HcF3yQHmeXc" TargetMode="External" /><Relationship Type="http://schemas.openxmlformats.org/officeDocument/2006/relationships/hyperlink" Id="rId31" Target="https://www.youtube.com/watch?v=Jzzblea25UA" TargetMode="External" /><Relationship Type="http://schemas.openxmlformats.org/officeDocument/2006/relationships/hyperlink" Id="rId58" Target="https://www.youtube.com/watch?v=KUJfuuhP1dc" TargetMode="External" /><Relationship Type="http://schemas.openxmlformats.org/officeDocument/2006/relationships/hyperlink" Id="rId26" Target="https://www.youtube.com/watch?v=LYHnU_QjKfI" TargetMode="External" /><Relationship Type="http://schemas.openxmlformats.org/officeDocument/2006/relationships/hyperlink" Id="rId22" Target="https://www.youtube.com/watch?v=NLoZq0wiTU8" TargetMode="External" /><Relationship Type="http://schemas.openxmlformats.org/officeDocument/2006/relationships/hyperlink" Id="rId40" Target="https://www.youtube.com/watch?v=RV7To1MF6Es" TargetMode="External" /><Relationship Type="http://schemas.openxmlformats.org/officeDocument/2006/relationships/hyperlink" Id="rId45" Target="https://www.youtube.com/watch?v=SFVjiPQFsYA" TargetMode="External" /><Relationship Type="http://schemas.openxmlformats.org/officeDocument/2006/relationships/hyperlink" Id="rId30" Target="https://www.youtube.com/watch?v=Tuw06kPjeyQ" TargetMode="External" /><Relationship Type="http://schemas.openxmlformats.org/officeDocument/2006/relationships/hyperlink" Id="rId35" Target="https://www.youtube.com/watch?v=UwUJnEMZoTk" TargetMode="External" /><Relationship Type="http://schemas.openxmlformats.org/officeDocument/2006/relationships/hyperlink" Id="rId49" Target="https://www.youtube.com/watch?v=X65mwN7kJGg&amp;t=53s" TargetMode="External" /><Relationship Type="http://schemas.openxmlformats.org/officeDocument/2006/relationships/hyperlink" Id="rId42" Target="https://www.youtube.com/watch?v=ZPBcj4e6M34" TargetMode="External" /><Relationship Type="http://schemas.openxmlformats.org/officeDocument/2006/relationships/hyperlink" Id="rId38" Target="https://www.youtube.com/watch?v=_faK3p9tN4A" TargetMode="External" /><Relationship Type="http://schemas.openxmlformats.org/officeDocument/2006/relationships/hyperlink" Id="rId54" Target="https://www.youtube.com/watch?v=aJZEcZtUXDg" TargetMode="External" /><Relationship Type="http://schemas.openxmlformats.org/officeDocument/2006/relationships/hyperlink" Id="rId52" Target="https://www.youtube.com/watch?v=dqbWhvFNsso&amp;t=90s" TargetMode="External" /><Relationship Type="http://schemas.openxmlformats.org/officeDocument/2006/relationships/hyperlink" Id="rId23" Target="https://www.youtube.com/watch?v=fJd6V15UiZM" TargetMode="External" /><Relationship Type="http://schemas.openxmlformats.org/officeDocument/2006/relationships/hyperlink" Id="rId56" Target="https://www.youtube.com/watch?v=gdhMWviAZig" TargetMode="External" /><Relationship Type="http://schemas.openxmlformats.org/officeDocument/2006/relationships/hyperlink" Id="rId64" Target="https://www.youtube.com/watch?v=h9PW25UhXKs" TargetMode="External" /><Relationship Type="http://schemas.openxmlformats.org/officeDocument/2006/relationships/hyperlink" Id="rId55" Target="https://www.youtube.com/watch?v=hD0WpBRLCiM" TargetMode="External" /><Relationship Type="http://schemas.openxmlformats.org/officeDocument/2006/relationships/hyperlink" Id="rId36" Target="https://www.youtube.com/watch?v=kvnAoT5ZYXl" TargetMode="External" /><Relationship Type="http://schemas.openxmlformats.org/officeDocument/2006/relationships/hyperlink" Id="rId39" Target="https://www.youtube.com/watch?v=l7LwZHXBYUA" TargetMode="External" /><Relationship Type="http://schemas.openxmlformats.org/officeDocument/2006/relationships/hyperlink" Id="rId44" Target="https://www.youtube.com/watch?v=pfv42g3FJEk" TargetMode="External" /><Relationship Type="http://schemas.openxmlformats.org/officeDocument/2006/relationships/hyperlink" Id="rId60" Target="https://www.youtube.com/watch?v=u7jh3Zw1hlg" TargetMode="External" /><Relationship Type="http://schemas.openxmlformats.org/officeDocument/2006/relationships/hyperlink" Id="rId33" Target="https://www.youtube.com/watch?v=uBxrJaVLHy4" TargetMode="External" /><Relationship Type="http://schemas.openxmlformats.org/officeDocument/2006/relationships/hyperlink" Id="rId48" Target="https://www.youtube.com/watch?v=xpbg3s0vrcI" TargetMode="External" /><Relationship Type="http://schemas.openxmlformats.org/officeDocument/2006/relationships/hyperlink" Id="rId59" Target="https://youtu.be/13AZ33dpCxU" TargetMode="External" /><Relationship Type="http://schemas.openxmlformats.org/officeDocument/2006/relationships/hyperlink" Id="rId61" Target="https://youtu.be/CRnkH9imTZk" TargetMode="External" /><Relationship Type="http://schemas.openxmlformats.org/officeDocument/2006/relationships/hyperlink" Id="rId47"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2026-05-22T17:30:32Z</dcterms:created>
  <dcterms:modified xsi:type="dcterms:W3CDTF">2026-05-22T17:30:32Z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2026-05-22</vt:lpwstr>
  </property>
  <property fmtid="{D5CDD505-2E9C-101B-9397-08002B2CF9AE}" pid="3" name="subtitle">
    <vt:lpwstr>Introduction, Video Library, and Onboarding Runbook</vt:lpwstr>
  </property>
</Properties>
</file>