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rPr>
          <w:color w:val="00467F"/>
          <w:sz w:val="48"/>
        </w:rPr>
        <w:t>Investment Research Report</w:t>
      </w:r>
    </w:p>
    <w:p>
      <w:pPr>
        <w:jc w:val="center"/>
      </w:pPr>
      <w:r>
        <w:rPr>
          <w:b/>
          <w:sz w:val="32"/>
        </w:rPr>
        <w:t>AAPL — Apple Inc.</w:t>
      </w:r>
    </w:p>
    <w:p>
      <w:pPr>
        <w:jc w:val="center"/>
      </w:pPr>
      <w:r>
        <w:rPr>
          <w:color w:val="808080"/>
        </w:rPr>
        <w:t>Generated: June 15, 2026</w:t>
      </w:r>
    </w:p>
    <w:p/>
    <w:p>
      <w:pPr>
        <w:jc w:val="center"/>
      </w:pPr>
      <w:r>
        <w:rPr>
          <w:b/>
          <w:color w:val="C80000"/>
          <w:sz w:val="36"/>
        </w:rPr>
        <w:t>RECOMMENDATION: SELL</w:t>
      </w:r>
    </w:p>
    <w:p>
      <w:r>
        <w:br w:type="page"/>
      </w:r>
    </w:p>
    <w:p>
      <w:pPr>
        <w:pStyle w:val="Heading1"/>
      </w:pPr>
      <w:r>
        <w:rPr>
          <w:color w:val="00467F"/>
        </w:rPr>
        <w:t>1. Financial Highlights</w:t>
      </w:r>
    </w:p>
    <w:p>
      <w:pPr>
        <w:spacing w:after="40"/>
      </w:pPr>
      <w:r>
        <w:rPr>
          <w:b/>
          <w:sz w:val="22"/>
        </w:rPr>
        <w:t xml:space="preserve">Revenue: </w:t>
      </w:r>
      <w:r>
        <w:rPr>
          <w:sz w:val="22"/>
        </w:rPr>
        <w:t>$416.16B</w:t>
      </w:r>
    </w:p>
    <w:p>
      <w:pPr>
        <w:spacing w:after="40"/>
      </w:pPr>
      <w:r>
        <w:rPr>
          <w:b/>
          <w:sz w:val="22"/>
        </w:rPr>
        <w:t xml:space="preserve">Net Income: </w:t>
      </w:r>
      <w:r>
        <w:rPr>
          <w:sz w:val="22"/>
        </w:rPr>
        <w:t>$112.01B</w:t>
      </w:r>
    </w:p>
    <w:p>
      <w:pPr>
        <w:spacing w:after="40"/>
      </w:pPr>
      <w:r>
        <w:rPr>
          <w:b/>
          <w:sz w:val="22"/>
        </w:rPr>
        <w:t xml:space="preserve">Operating Income: </w:t>
      </w:r>
      <w:r>
        <w:rPr>
          <w:sz w:val="22"/>
        </w:rPr>
        <w:t>$133.05B</w:t>
      </w:r>
    </w:p>
    <w:p>
      <w:pPr>
        <w:spacing w:after="40"/>
      </w:pPr>
      <w:r>
        <w:rPr>
          <w:b/>
          <w:sz w:val="22"/>
        </w:rPr>
        <w:t xml:space="preserve">EPS (Diluted): </w:t>
      </w:r>
      <w:r>
        <w:rPr>
          <w:sz w:val="22"/>
        </w:rPr>
        <w:t>$7.46</w:t>
      </w:r>
    </w:p>
    <w:p>
      <w:pPr>
        <w:spacing w:after="40"/>
      </w:pPr>
      <w:r>
        <w:rPr>
          <w:b/>
          <w:sz w:val="22"/>
        </w:rPr>
        <w:t xml:space="preserve">Total Assets: </w:t>
      </w:r>
      <w:r>
        <w:rPr>
          <w:sz w:val="22"/>
        </w:rPr>
        <w:t>$359.24B</w:t>
      </w:r>
    </w:p>
    <w:p>
      <w:pPr>
        <w:spacing w:after="40"/>
      </w:pPr>
      <w:r>
        <w:rPr>
          <w:b/>
          <w:sz w:val="22"/>
        </w:rPr>
        <w:t xml:space="preserve">Cash &amp; Equivalents: </w:t>
      </w:r>
      <w:r>
        <w:rPr>
          <w:sz w:val="22"/>
        </w:rPr>
        <w:t>$35.93B</w:t>
      </w:r>
    </w:p>
    <w:p>
      <w:pPr>
        <w:spacing w:after="40"/>
      </w:pPr>
      <w:r>
        <w:rPr>
          <w:b/>
          <w:sz w:val="22"/>
        </w:rPr>
        <w:t xml:space="preserve">Operating Cash Flow: </w:t>
      </w:r>
      <w:r>
        <w:rPr>
          <w:sz w:val="22"/>
        </w:rPr>
        <w:t>$111.48B</w:t>
      </w:r>
    </w:p>
    <w:p/>
    <w:p>
      <w:pPr>
        <w:pStyle w:val="Heading2"/>
      </w:pPr>
      <w:r>
        <w:t>Key Ratios</w:t>
      </w:r>
    </w:p>
    <w:p>
      <w:pPr>
        <w:spacing w:after="40"/>
      </w:pPr>
      <w:r>
        <w:rPr>
          <w:b/>
          <w:sz w:val="22"/>
        </w:rPr>
        <w:t xml:space="preserve">Net Profit Margin: </w:t>
      </w:r>
      <w:r>
        <w:rPr>
          <w:sz w:val="22"/>
        </w:rPr>
        <w:t>26.9%</w:t>
      </w:r>
    </w:p>
    <w:p>
      <w:pPr>
        <w:spacing w:after="40"/>
      </w:pPr>
      <w:r>
        <w:rPr>
          <w:b/>
          <w:sz w:val="22"/>
        </w:rPr>
        <w:t xml:space="preserve">Return on Assets: </w:t>
      </w:r>
      <w:r>
        <w:rPr>
          <w:sz w:val="22"/>
        </w:rPr>
        <w:t>31.2%</w:t>
      </w:r>
    </w:p>
    <w:p>
      <w:pPr>
        <w:spacing w:after="40"/>
      </w:pPr>
      <w:r>
        <w:rPr>
          <w:b/>
          <w:sz w:val="22"/>
        </w:rPr>
        <w:t xml:space="preserve">Return on Equity: </w:t>
      </w:r>
      <w:r>
        <w:rPr>
          <w:sz w:val="22"/>
        </w:rPr>
        <w:t>151.9%</w:t>
      </w:r>
    </w:p>
    <w:p>
      <w:pPr>
        <w:spacing w:after="40"/>
      </w:pPr>
      <w:r>
        <w:rPr>
          <w:b/>
          <w:sz w:val="22"/>
        </w:rPr>
        <w:t xml:space="preserve">Debt / Equity: </w:t>
      </w:r>
      <w:r>
        <w:rPr>
          <w:sz w:val="22"/>
        </w:rPr>
        <w:t>3.87x</w:t>
      </w:r>
    </w:p>
    <w:p/>
    <w:p>
      <w:pPr>
        <w:pStyle w:val="Heading1"/>
      </w:pPr>
      <w:r>
        <w:rPr>
          <w:color w:val="00467F"/>
        </w:rPr>
        <w:t>2. Valuation Analysis</w:t>
      </w:r>
    </w:p>
    <w:p>
      <w:pPr>
        <w:spacing w:after="40"/>
      </w:pPr>
      <w:r>
        <w:rPr>
          <w:b/>
          <w:sz w:val="22"/>
        </w:rPr>
        <w:t xml:space="preserve">Current Market Price: </w:t>
      </w:r>
      <w:r>
        <w:rPr>
          <w:sz w:val="22"/>
        </w:rPr>
        <w:t>$296.30</w:t>
      </w:r>
    </w:p>
    <w:p>
      <w:pPr>
        <w:spacing w:after="40"/>
      </w:pPr>
      <w:r>
        <w:rPr>
          <w:b/>
          <w:sz w:val="22"/>
        </w:rPr>
        <w:t xml:space="preserve">Market Capitalization: </w:t>
      </w:r>
      <w:r>
        <w:rPr>
          <w:sz w:val="22"/>
        </w:rPr>
        <w:t>$4.35T</w:t>
      </w:r>
    </w:p>
    <w:p>
      <w:pPr>
        <w:spacing w:after="40"/>
      </w:pPr>
      <w:r>
        <w:rPr>
          <w:b/>
          <w:sz w:val="22"/>
        </w:rPr>
        <w:t xml:space="preserve">P/E Ratio: </w:t>
      </w:r>
      <w:r>
        <w:rPr>
          <w:sz w:val="22"/>
        </w:rPr>
        <w:t>35.8x</w:t>
      </w:r>
    </w:p>
    <w:p>
      <w:pPr>
        <w:spacing w:after="40"/>
      </w:pPr>
      <w:r>
        <w:rPr>
          <w:b/>
          <w:sz w:val="22"/>
        </w:rPr>
        <w:t xml:space="preserve">52-Week High: </w:t>
      </w:r>
      <w:r>
        <w:rPr>
          <w:sz w:val="22"/>
        </w:rPr>
        <w:t>$317.40</w:t>
      </w:r>
    </w:p>
    <w:p>
      <w:pPr>
        <w:spacing w:after="40"/>
      </w:pPr>
      <w:r>
        <w:rPr>
          <w:b/>
          <w:sz w:val="22"/>
        </w:rPr>
        <w:t xml:space="preserve">52-Week Low: </w:t>
      </w:r>
      <w:r>
        <w:rPr>
          <w:sz w:val="22"/>
        </w:rPr>
        <w:t>$195.07</w:t>
      </w:r>
    </w:p>
    <w:p>
      <w:pPr>
        <w:spacing w:after="40"/>
      </w:pPr>
      <w:r>
        <w:rPr>
          <w:b/>
          <w:sz w:val="22"/>
        </w:rPr>
        <w:t xml:space="preserve">DCF Intrinsic Value: </w:t>
      </w:r>
      <w:r>
        <w:rPr>
          <w:sz w:val="22"/>
        </w:rPr>
        <w:t>$144.36</w:t>
      </w:r>
    </w:p>
    <w:p>
      <w:pPr>
        <w:spacing w:after="40"/>
      </w:pPr>
      <w:r>
        <w:rPr>
          <w:b/>
          <w:sz w:val="22"/>
        </w:rPr>
        <w:t xml:space="preserve">DCF Upside/Downside: </w:t>
      </w:r>
      <w:r>
        <w:rPr>
          <w:sz w:val="22"/>
        </w:rPr>
        <w:t>-51.3%</w:t>
      </w:r>
    </w:p>
    <w:p>
      <w:pPr>
        <w:spacing w:after="40"/>
      </w:pPr>
      <w:r>
        <w:rPr>
          <w:b/>
          <w:sz w:val="22"/>
        </w:rPr>
        <w:t xml:space="preserve">Analyst Target Price: </w:t>
      </w:r>
      <w:r>
        <w:rPr>
          <w:sz w:val="22"/>
        </w:rPr>
        <w:t>$312.72</w:t>
      </w:r>
    </w:p>
    <w:p>
      <w:pPr>
        <w:spacing w:after="40"/>
      </w:pPr>
      <w:r>
        <w:rPr>
          <w:b/>
          <w:sz w:val="22"/>
        </w:rPr>
        <w:t xml:space="preserve">Analyst Upside: </w:t>
      </w:r>
      <w:r>
        <w:rPr>
          <w:sz w:val="22"/>
        </w:rPr>
        <w:t>+5.5%</w:t>
      </w:r>
    </w:p>
    <w:p/>
    <w:p>
      <w:pPr>
        <w:pStyle w:val="Heading1"/>
      </w:pPr>
      <w:r>
        <w:rPr>
          <w:color w:val="00467F"/>
        </w:rPr>
        <w:t>3. News Sentiment Analysis</w:t>
      </w:r>
    </w:p>
    <w:p>
      <w:pPr>
        <w:spacing w:after="40"/>
      </w:pPr>
      <w:r>
        <w:rPr>
          <w:b/>
          <w:sz w:val="22"/>
        </w:rPr>
        <w:t xml:space="preserve">Overall Sentiment: </w:t>
      </w:r>
      <w:r>
        <w:rPr>
          <w:sz w:val="22"/>
        </w:rPr>
        <w:t>Neutral (+0.150)</w:t>
      </w:r>
    </w:p>
    <w:p>
      <w:pPr>
        <w:spacing w:after="40"/>
      </w:pPr>
      <w:r>
        <w:rPr>
          <w:b/>
          <w:sz w:val="22"/>
        </w:rPr>
        <w:t xml:space="preserve">Bullish Articles: </w:t>
      </w:r>
      <w:r>
        <w:rPr>
          <w:sz w:val="22"/>
        </w:rPr>
        <w:t>3</w:t>
      </w:r>
    </w:p>
    <w:p>
      <w:pPr>
        <w:spacing w:after="40"/>
      </w:pPr>
      <w:r>
        <w:rPr>
          <w:b/>
          <w:sz w:val="22"/>
        </w:rPr>
        <w:t xml:space="preserve">Neutral Articles: </w:t>
      </w:r>
      <w:r>
        <w:rPr>
          <w:sz w:val="22"/>
        </w:rPr>
        <w:t>0</w:t>
      </w:r>
    </w:p>
    <w:p>
      <w:pPr>
        <w:spacing w:after="40"/>
      </w:pPr>
      <w:r>
        <w:rPr>
          <w:b/>
          <w:sz w:val="22"/>
        </w:rPr>
        <w:t xml:space="preserve">Bearish Articles: </w:t>
      </w:r>
      <w:r>
        <w:rPr>
          <w:sz w:val="22"/>
        </w:rPr>
        <w:t>2</w:t>
      </w:r>
    </w:p>
    <w:p/>
    <w:p>
      <w:r>
        <w:rPr>
          <w:b/>
        </w:rPr>
        <w:t>Recent Headlines:</w:t>
      </w:r>
    </w:p>
    <w:p>
      <w:pPr>
        <w:pStyle w:val="ListBullet"/>
      </w:pPr>
      <w:r>
        <w:rPr>
          <w:sz w:val="20"/>
        </w:rPr>
        <w:t>▲ [20250601] AAPL Reports Strong Quarterly Earnings</w:t>
      </w:r>
    </w:p>
    <w:p>
      <w:pPr>
        <w:pStyle w:val="ListBullet"/>
      </w:pPr>
      <w:r>
        <w:rPr>
          <w:sz w:val="20"/>
        </w:rPr>
        <w:t>▼ [20250528] AAPL Faces Regulatory Scrutiny in EU Markets</w:t>
      </w:r>
    </w:p>
    <w:p>
      <w:pPr>
        <w:pStyle w:val="ListBullet"/>
      </w:pPr>
      <w:r>
        <w:rPr>
          <w:sz w:val="20"/>
        </w:rPr>
        <w:t>▲ [20250520] AAPL Announces New Product Line for 2025</w:t>
      </w:r>
    </w:p>
    <w:p>
      <w:pPr>
        <w:pStyle w:val="ListBullet"/>
      </w:pPr>
      <w:r>
        <w:rPr>
          <w:sz w:val="20"/>
        </w:rPr>
        <w:t>▲ [20250515] Analysts Raise Price Target for AAPL</w:t>
      </w:r>
    </w:p>
    <w:p>
      <w:pPr>
        <w:pStyle w:val="ListBullet"/>
      </w:pPr>
      <w:r>
        <w:rPr>
          <w:sz w:val="20"/>
        </w:rPr>
        <w:t>▼ [20250510] AAPL Supply Chain Concerns Weigh on Outlook</w:t>
      </w:r>
    </w:p>
    <w:p/>
    <w:p>
      <w:pPr>
        <w:pStyle w:val="Heading1"/>
      </w:pPr>
      <w:r>
        <w:rPr>
          <w:color w:val="00467F"/>
        </w:rPr>
        <w:t>4. Investment Memo</w:t>
      </w:r>
    </w:p>
    <w:p>
      <w:r>
        <w:rPr>
          <w:b/>
          <w:sz w:val="24"/>
        </w:rPr>
        <w:t>MEMO</w:t>
      </w:r>
    </w:p>
    <w:p>
      <w:r>
        <w:rPr>
          <w:sz w:val="20"/>
        </w:rPr>
        <w:t>TO: Investment Committee</w:t>
      </w:r>
    </w:p>
    <w:p>
      <w:r>
        <w:rPr>
          <w:sz w:val="20"/>
        </w:rPr>
        <w:t>FROM: Senior Investment Analyst</w:t>
      </w:r>
    </w:p>
    <w:p>
      <w:r>
        <w:rPr>
          <w:sz w:val="20"/>
        </w:rPr>
        <w:t>DATE: [Insert Date]</w:t>
      </w:r>
    </w:p>
    <w:p>
      <w:r>
        <w:rPr>
          <w:sz w:val="20"/>
        </w:rPr>
        <w:t>SUBJECT: Investment Recommendation for Apple Inc. (AAPL)</w:t>
      </w:r>
    </w:p>
    <w:p/>
    <w:p>
      <w:r>
        <w:rPr>
          <w:b/>
          <w:sz w:val="24"/>
        </w:rPr>
        <w:t>1. EXECUTIVE SUMMARY</w:t>
      </w:r>
    </w:p>
    <w:p>
      <w:r>
        <w:rPr>
          <w:sz w:val="20"/>
        </w:rPr>
        <w:t>Apple Inc. (AAPL) presents a compelling case for caution in the current market environment. Despite strong financial performance, the significant disparity between its intrinsic value and market price suggests overvaluation. Therefore, I recommend a SELL position on AAPL.</w:t>
      </w:r>
    </w:p>
    <w:p/>
    <w:p>
      <w:r>
        <w:rPr>
          <w:b/>
          <w:sz w:val="24"/>
        </w:rPr>
        <w:t>2. INVESTMENT THESIS</w:t>
      </w:r>
    </w:p>
    <w:p>
      <w:r>
        <w:rPr>
          <w:sz w:val="20"/>
        </w:rPr>
        <w:t>- Overvaluation Concerns: The current market price of $296.30 significantly exceeds the DCF intrinsic value of $144.36, indicating a downside potential of 51.3%.</w:t>
      </w:r>
    </w:p>
    <w:p>
      <w:r>
        <w:rPr>
          <w:sz w:val="20"/>
        </w:rPr>
        <w:t>- High Leverage: AAPL's debt-to-equity ratio stands at 3.87x, suggesting a reliance on debt financing that could pose risks in a rising interest rate environment.</w:t>
      </w:r>
    </w:p>
    <w:p>
      <w:r>
        <w:rPr>
          <w:sz w:val="20"/>
        </w:rPr>
        <w:t>- Market Sentiment: The overall neutral sentiment, with a slight bullish tilt, does not provide sufficient momentum to justify the current valuation, especially given the risks highlighted in the 10-K filings.</w:t>
      </w:r>
    </w:p>
    <w:p/>
    <w:p>
      <w:r>
        <w:rPr>
          <w:b/>
          <w:sz w:val="24"/>
        </w:rPr>
        <w:t>3. FINANCIAL HIGHLIGHTS</w:t>
      </w:r>
    </w:p>
    <w:p>
      <w:r>
        <w:rPr>
          <w:sz w:val="20"/>
        </w:rPr>
        <w:t>- Revenue: $416.16 billion</w:t>
      </w:r>
    </w:p>
    <w:p>
      <w:r>
        <w:rPr>
          <w:sz w:val="20"/>
        </w:rPr>
        <w:t>- Net Income: $112.01 billion</w:t>
      </w:r>
    </w:p>
    <w:p>
      <w:r>
        <w:rPr>
          <w:sz w:val="20"/>
        </w:rPr>
        <w:t>- EPS (Diluted): $7.46</w:t>
      </w:r>
    </w:p>
    <w:p>
      <w:r>
        <w:rPr>
          <w:sz w:val="20"/>
        </w:rPr>
        <w:t>- Net Profit Margin: 26.9%</w:t>
      </w:r>
    </w:p>
    <w:p>
      <w:r>
        <w:rPr>
          <w:sz w:val="20"/>
        </w:rPr>
        <w:t>- Return on Equity (ROE): 151.9%</w:t>
      </w:r>
    </w:p>
    <w:p>
      <w:r>
        <w:rPr>
          <w:sz w:val="20"/>
        </w:rPr>
        <w:t>AAPL's robust revenue and net income reflect strong operational efficiency, but the high ROE is partially driven by its significant leverage, which raises concerns about sustainability.</w:t>
      </w:r>
    </w:p>
    <w:p/>
    <w:p>
      <w:r>
        <w:rPr>
          <w:b/>
          <w:sz w:val="24"/>
        </w:rPr>
        <w:t>4. RISK FACTORS</w:t>
      </w:r>
    </w:p>
    <w:p>
      <w:r>
        <w:rPr>
          <w:sz w:val="20"/>
        </w:rPr>
        <w:t>According to the latest 10-K filings, the following risks are noteworthy:</w:t>
      </w:r>
    </w:p>
    <w:p>
      <w:r>
        <w:rPr>
          <w:sz w:val="20"/>
        </w:rPr>
        <w:t>1. Macroeconomic and Industry Risks: AAPL's performance is sensitive to global economic conditions, which can impact consumer spending and demand for its products.</w:t>
      </w:r>
    </w:p>
    <w:p>
      <w:r>
        <w:rPr>
          <w:sz w:val="20"/>
        </w:rPr>
        <w:t>2. Technological Integration Risks: The company faces challenges in effectively integrating emerging technologies, such as machine learning and AI, which are critical for maintaining competitive advantage.</w:t>
      </w:r>
    </w:p>
    <w:p>
      <w:r>
        <w:rPr>
          <w:sz w:val="20"/>
        </w:rPr>
        <w:t>3. Supply Chain Vulnerabilities: Disruptions in the global supply chain, exacerbated by geopolitical tensions or pandemics, could adversely affect production and product availability.</w:t>
      </w:r>
    </w:p>
    <w:p/>
    <w:p>
      <w:r>
        <w:rPr>
          <w:b/>
          <w:sz w:val="24"/>
        </w:rPr>
        <w:t>5. VALUATION SUMMARY</w:t>
      </w:r>
    </w:p>
    <w:p>
      <w:r>
        <w:rPr>
          <w:sz w:val="20"/>
        </w:rPr>
        <w:t>The DCF analysis indicates an intrinsic value of $144.36, which is substantially lower than the current market price of $296.30. This discrepancy highlights a potential overvaluation of 51.3%. Additionally, the analyst consensus target price of $312.72 suggests limited upside potential, further supporting the recommendation to sell.</w:t>
      </w:r>
    </w:p>
    <w:p/>
    <w:p>
      <w:r>
        <w:rPr>
          <w:b/>
          <w:sz w:val="24"/>
        </w:rPr>
        <w:t>6. FINAL RECOMMENDATION</w:t>
      </w:r>
    </w:p>
    <w:p>
      <w:r>
        <w:rPr>
          <w:sz w:val="20"/>
        </w:rPr>
        <w:t>Given the overvaluation, high leverage, and existing risks, I recommend a SELL position on Apple Inc. with a 12-month price target of $144.36, aligning with the DCF intrinsic value assessment.</w:t>
      </w:r>
    </w:p>
    <w:p/>
    <w:p>
      <w:r>
        <w:rPr>
          <w:b/>
          <w:sz w:val="24"/>
        </w:rPr>
        <w:t>End of Memo</w:t>
      </w:r>
    </w:p>
    <w:p>
      <w:r>
        <w:br w:type="page"/>
      </w:r>
    </w:p>
    <w:p>
      <w:pPr>
        <w:jc w:val="center"/>
      </w:pPr>
      <w:r>
        <w:rPr>
          <w:color w:val="808080"/>
          <w:sz w:val="18"/>
        </w:rPr>
        <w:t>This report was generated automatically by the Agentic Financial Intelligence Platform. Data sourced from SEC EDGAR, Alpha Vantage, and yfinance. This is not financial advice.</w:t>
      </w:r>
    </w:p>
    <w:sectPr w:rsidR="00FC693F" w:rsidRPr="0006063C" w:rsidSect="00034616">
      <w:pgSz w:w="12240" w:h="15840"/>
      <w:pgMar w:top="1440" w:right="1728" w:bottom="1440" w:left="172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