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467F"/>
          <w:sz w:val="48"/>
        </w:rPr>
        <w:t>Investment Research Report</w:t>
      </w:r>
    </w:p>
    <w:p>
      <w:pPr>
        <w:jc w:val="center"/>
      </w:pPr>
      <w:r>
        <w:rPr>
          <w:b/>
          <w:sz w:val="32"/>
        </w:rPr>
        <w:t>AAPL — Apple Inc.</w:t>
      </w:r>
    </w:p>
    <w:p>
      <w:pPr>
        <w:jc w:val="center"/>
      </w:pPr>
      <w:r>
        <w:rPr>
          <w:color w:val="808080"/>
        </w:rPr>
        <w:t>Generated: June 15, 2026</w:t>
      </w:r>
    </w:p>
    <w:p/>
    <w:p>
      <w:pPr>
        <w:jc w:val="center"/>
      </w:pPr>
      <w:r>
        <w:rPr>
          <w:b/>
          <w:color w:val="C80000"/>
          <w:sz w:val="36"/>
        </w:rPr>
        <w:t>RECOMMENDATION: SELL</w:t>
      </w:r>
    </w:p>
    <w:p>
      <w:r>
        <w:br w:type="page"/>
      </w:r>
    </w:p>
    <w:p>
      <w:pPr>
        <w:pStyle w:val="Heading1"/>
      </w:pPr>
      <w:r>
        <w:rPr>
          <w:color w:val="00467F"/>
        </w:rPr>
        <w:t>1. Financial Highlights</w:t>
      </w:r>
    </w:p>
    <w:p>
      <w:pPr>
        <w:spacing w:after="40"/>
      </w:pPr>
      <w:r>
        <w:rPr>
          <w:b/>
          <w:sz w:val="22"/>
        </w:rPr>
        <w:t xml:space="preserve">Revenue: </w:t>
      </w:r>
      <w:r>
        <w:rPr>
          <w:sz w:val="22"/>
        </w:rPr>
        <w:t>$416.16B</w:t>
      </w:r>
    </w:p>
    <w:p>
      <w:pPr>
        <w:spacing w:after="40"/>
      </w:pPr>
      <w:r>
        <w:rPr>
          <w:b/>
          <w:sz w:val="22"/>
        </w:rPr>
        <w:t xml:space="preserve">Net Income: </w:t>
      </w:r>
      <w:r>
        <w:rPr>
          <w:sz w:val="22"/>
        </w:rPr>
        <w:t>$112.01B</w:t>
      </w:r>
    </w:p>
    <w:p>
      <w:pPr>
        <w:spacing w:after="40"/>
      </w:pPr>
      <w:r>
        <w:rPr>
          <w:b/>
          <w:sz w:val="22"/>
        </w:rPr>
        <w:t xml:space="preserve">Operating Income: </w:t>
      </w:r>
      <w:r>
        <w:rPr>
          <w:sz w:val="22"/>
        </w:rPr>
        <w:t>$133.05B</w:t>
      </w:r>
    </w:p>
    <w:p>
      <w:pPr>
        <w:spacing w:after="40"/>
      </w:pPr>
      <w:r>
        <w:rPr>
          <w:b/>
          <w:sz w:val="22"/>
        </w:rPr>
        <w:t xml:space="preserve">EPS (Diluted): </w:t>
      </w:r>
      <w:r>
        <w:rPr>
          <w:sz w:val="22"/>
        </w:rPr>
        <w:t>$7.46</w:t>
      </w:r>
    </w:p>
    <w:p>
      <w:pPr>
        <w:spacing w:after="40"/>
      </w:pPr>
      <w:r>
        <w:rPr>
          <w:b/>
          <w:sz w:val="22"/>
        </w:rPr>
        <w:t xml:space="preserve">Total Assets: </w:t>
      </w:r>
      <w:r>
        <w:rPr>
          <w:sz w:val="22"/>
        </w:rPr>
        <w:t>$359.24B</w:t>
      </w:r>
    </w:p>
    <w:p>
      <w:pPr>
        <w:spacing w:after="40"/>
      </w:pPr>
      <w:r>
        <w:rPr>
          <w:b/>
          <w:sz w:val="22"/>
        </w:rPr>
        <w:t xml:space="preserve">Cash &amp; Equivalents: </w:t>
      </w:r>
      <w:r>
        <w:rPr>
          <w:sz w:val="22"/>
        </w:rPr>
        <w:t>$35.93B</w:t>
      </w:r>
    </w:p>
    <w:p>
      <w:pPr>
        <w:spacing w:after="40"/>
      </w:pPr>
      <w:r>
        <w:rPr>
          <w:b/>
          <w:sz w:val="22"/>
        </w:rPr>
        <w:t xml:space="preserve">Operating Cash Flow: </w:t>
      </w:r>
      <w:r>
        <w:rPr>
          <w:sz w:val="22"/>
        </w:rPr>
        <w:t>$111.48B</w:t>
      </w:r>
    </w:p>
    <w:p/>
    <w:p>
      <w:pPr>
        <w:pStyle w:val="Heading2"/>
      </w:pPr>
      <w:r>
        <w:t>Key Ratios</w:t>
      </w:r>
    </w:p>
    <w:p>
      <w:pPr>
        <w:spacing w:after="40"/>
      </w:pPr>
      <w:r>
        <w:rPr>
          <w:b/>
          <w:sz w:val="22"/>
        </w:rPr>
        <w:t xml:space="preserve">Net Profit Margin: </w:t>
      </w:r>
      <w:r>
        <w:rPr>
          <w:sz w:val="22"/>
        </w:rPr>
        <w:t>26.9%</w:t>
      </w:r>
    </w:p>
    <w:p>
      <w:pPr>
        <w:spacing w:after="40"/>
      </w:pPr>
      <w:r>
        <w:rPr>
          <w:b/>
          <w:sz w:val="22"/>
        </w:rPr>
        <w:t xml:space="preserve">Return on Assets: </w:t>
      </w:r>
      <w:r>
        <w:rPr>
          <w:sz w:val="22"/>
        </w:rPr>
        <w:t>31.2%</w:t>
      </w:r>
    </w:p>
    <w:p>
      <w:pPr>
        <w:spacing w:after="40"/>
      </w:pPr>
      <w:r>
        <w:rPr>
          <w:b/>
          <w:sz w:val="22"/>
        </w:rPr>
        <w:t xml:space="preserve">Return on Equity: </w:t>
      </w:r>
      <w:r>
        <w:rPr>
          <w:sz w:val="22"/>
        </w:rPr>
        <w:t>151.9%</w:t>
      </w:r>
    </w:p>
    <w:p>
      <w:pPr>
        <w:spacing w:after="40"/>
      </w:pPr>
      <w:r>
        <w:rPr>
          <w:b/>
          <w:sz w:val="22"/>
        </w:rPr>
        <w:t xml:space="preserve">Debt / Equity: </w:t>
      </w:r>
      <w:r>
        <w:rPr>
          <w:sz w:val="22"/>
        </w:rPr>
        <w:t>3.87x</w:t>
      </w:r>
    </w:p>
    <w:p/>
    <w:p>
      <w:pPr>
        <w:pStyle w:val="Heading1"/>
      </w:pPr>
      <w:r>
        <w:rPr>
          <w:color w:val="00467F"/>
        </w:rPr>
        <w:t>2. Valuation Analysis</w:t>
      </w:r>
    </w:p>
    <w:p>
      <w:pPr>
        <w:spacing w:after="40"/>
      </w:pPr>
      <w:r>
        <w:rPr>
          <w:b/>
          <w:sz w:val="22"/>
        </w:rPr>
        <w:t xml:space="preserve">Current Market Price: </w:t>
      </w:r>
      <w:r>
        <w:rPr>
          <w:sz w:val="22"/>
        </w:rPr>
        <w:t>$296.22</w:t>
      </w:r>
    </w:p>
    <w:p>
      <w:pPr>
        <w:spacing w:after="40"/>
      </w:pPr>
      <w:r>
        <w:rPr>
          <w:b/>
          <w:sz w:val="22"/>
        </w:rPr>
        <w:t xml:space="preserve">Market Capitalization: </w:t>
      </w:r>
      <w:r>
        <w:rPr>
          <w:sz w:val="22"/>
        </w:rPr>
        <w:t>$4.35T</w:t>
      </w:r>
    </w:p>
    <w:p>
      <w:pPr>
        <w:spacing w:after="40"/>
      </w:pPr>
      <w:r>
        <w:rPr>
          <w:b/>
          <w:sz w:val="22"/>
        </w:rPr>
        <w:t xml:space="preserve">P/E Ratio: </w:t>
      </w:r>
      <w:r>
        <w:rPr>
          <w:sz w:val="22"/>
        </w:rPr>
        <w:t>35.8x</w:t>
      </w:r>
    </w:p>
    <w:p>
      <w:pPr>
        <w:spacing w:after="40"/>
      </w:pPr>
      <w:r>
        <w:rPr>
          <w:b/>
          <w:sz w:val="22"/>
        </w:rPr>
        <w:t xml:space="preserve">52-Week High: </w:t>
      </w:r>
      <w:r>
        <w:rPr>
          <w:sz w:val="22"/>
        </w:rPr>
        <w:t>$317.40</w:t>
      </w:r>
    </w:p>
    <w:p>
      <w:pPr>
        <w:spacing w:after="40"/>
      </w:pPr>
      <w:r>
        <w:rPr>
          <w:b/>
          <w:sz w:val="22"/>
        </w:rPr>
        <w:t xml:space="preserve">52-Week Low: </w:t>
      </w:r>
      <w:r>
        <w:rPr>
          <w:sz w:val="22"/>
        </w:rPr>
        <w:t>$195.07</w:t>
      </w:r>
    </w:p>
    <w:p>
      <w:pPr>
        <w:spacing w:after="40"/>
      </w:pPr>
      <w:r>
        <w:rPr>
          <w:b/>
          <w:sz w:val="22"/>
        </w:rPr>
        <w:t xml:space="preserve">DCF Intrinsic Value: </w:t>
      </w:r>
      <w:r>
        <w:rPr>
          <w:sz w:val="22"/>
        </w:rPr>
        <w:t>$144.36</w:t>
      </w:r>
    </w:p>
    <w:p>
      <w:pPr>
        <w:spacing w:after="40"/>
      </w:pPr>
      <w:r>
        <w:rPr>
          <w:b/>
          <w:sz w:val="22"/>
        </w:rPr>
        <w:t xml:space="preserve">DCF Upside/Downside: </w:t>
      </w:r>
      <w:r>
        <w:rPr>
          <w:sz w:val="22"/>
        </w:rPr>
        <w:t>-51.3%</w:t>
      </w:r>
    </w:p>
    <w:p>
      <w:pPr>
        <w:spacing w:after="40"/>
      </w:pPr>
      <w:r>
        <w:rPr>
          <w:b/>
          <w:sz w:val="22"/>
        </w:rPr>
        <w:t xml:space="preserve">Analyst Target Price: </w:t>
      </w:r>
      <w:r>
        <w:rPr>
          <w:sz w:val="22"/>
        </w:rPr>
        <w:t>$312.72</w:t>
      </w:r>
    </w:p>
    <w:p>
      <w:pPr>
        <w:spacing w:after="40"/>
      </w:pPr>
      <w:r>
        <w:rPr>
          <w:b/>
          <w:sz w:val="22"/>
        </w:rPr>
        <w:t xml:space="preserve">Analyst Upside: </w:t>
      </w:r>
      <w:r>
        <w:rPr>
          <w:sz w:val="22"/>
        </w:rPr>
        <w:t>+5.6%</w:t>
      </w:r>
    </w:p>
    <w:p/>
    <w:p>
      <w:pPr>
        <w:pStyle w:val="Heading1"/>
      </w:pPr>
      <w:r>
        <w:rPr>
          <w:color w:val="00467F"/>
        </w:rPr>
        <w:t>3. News Sentiment Analysis</w:t>
      </w:r>
    </w:p>
    <w:p>
      <w:pPr>
        <w:spacing w:after="40"/>
      </w:pPr>
      <w:r>
        <w:rPr>
          <w:b/>
          <w:sz w:val="22"/>
        </w:rPr>
        <w:t xml:space="preserve">Overall Sentiment: </w:t>
      </w:r>
      <w:r>
        <w:rPr>
          <w:sz w:val="22"/>
        </w:rPr>
        <w:t>Neutral (+0.150)</w:t>
      </w:r>
    </w:p>
    <w:p>
      <w:pPr>
        <w:spacing w:after="40"/>
      </w:pPr>
      <w:r>
        <w:rPr>
          <w:b/>
          <w:sz w:val="22"/>
        </w:rPr>
        <w:t xml:space="preserve">Bullish Articles: </w:t>
      </w:r>
      <w:r>
        <w:rPr>
          <w:sz w:val="22"/>
        </w:rPr>
        <w:t>3</w:t>
      </w:r>
    </w:p>
    <w:p>
      <w:pPr>
        <w:spacing w:after="40"/>
      </w:pPr>
      <w:r>
        <w:rPr>
          <w:b/>
          <w:sz w:val="22"/>
        </w:rPr>
        <w:t xml:space="preserve">Neutral Articles: </w:t>
      </w:r>
      <w:r>
        <w:rPr>
          <w:sz w:val="22"/>
        </w:rPr>
        <w:t>0</w:t>
      </w:r>
    </w:p>
    <w:p>
      <w:pPr>
        <w:spacing w:after="40"/>
      </w:pPr>
      <w:r>
        <w:rPr>
          <w:b/>
          <w:sz w:val="22"/>
        </w:rPr>
        <w:t xml:space="preserve">Bearish Articles: </w:t>
      </w:r>
      <w:r>
        <w:rPr>
          <w:sz w:val="22"/>
        </w:rPr>
        <w:t>2</w:t>
      </w:r>
    </w:p>
    <w:p/>
    <w:p>
      <w:r>
        <w:rPr>
          <w:b/>
        </w:rPr>
        <w:t>Recent Headlines:</w:t>
      </w:r>
    </w:p>
    <w:p>
      <w:pPr>
        <w:pStyle w:val="ListBullet"/>
      </w:pPr>
      <w:r>
        <w:rPr>
          <w:sz w:val="20"/>
        </w:rPr>
        <w:t>▲ [20250601] AAPL Reports Strong Quarterly Earnings</w:t>
      </w:r>
    </w:p>
    <w:p>
      <w:pPr>
        <w:pStyle w:val="ListBullet"/>
      </w:pPr>
      <w:r>
        <w:rPr>
          <w:sz w:val="20"/>
        </w:rPr>
        <w:t>▼ [20250528] AAPL Faces Regulatory Scrutiny in EU Markets</w:t>
      </w:r>
    </w:p>
    <w:p>
      <w:pPr>
        <w:pStyle w:val="ListBullet"/>
      </w:pPr>
      <w:r>
        <w:rPr>
          <w:sz w:val="20"/>
        </w:rPr>
        <w:t>▲ [20250520] AAPL Announces New Product Line for 2025</w:t>
      </w:r>
    </w:p>
    <w:p>
      <w:pPr>
        <w:pStyle w:val="ListBullet"/>
      </w:pPr>
      <w:r>
        <w:rPr>
          <w:sz w:val="20"/>
        </w:rPr>
        <w:t>▲ [20250515] Analysts Raise Price Target for AAPL</w:t>
      </w:r>
    </w:p>
    <w:p>
      <w:pPr>
        <w:pStyle w:val="ListBullet"/>
      </w:pPr>
      <w:r>
        <w:rPr>
          <w:sz w:val="20"/>
        </w:rPr>
        <w:t>▼ [20250510] AAPL Supply Chain Concerns Weigh on Outlook</w:t>
      </w:r>
    </w:p>
    <w:p/>
    <w:p>
      <w:pPr>
        <w:pStyle w:val="Heading1"/>
      </w:pPr>
      <w:r>
        <w:rPr>
          <w:color w:val="00467F"/>
        </w:rPr>
        <w:t>4. Investment Memo</w:t>
      </w:r>
    </w:p>
    <w:p>
      <w:r>
        <w:rPr>
          <w:b/>
          <w:sz w:val="24"/>
        </w:rPr>
        <w:t>MEMORANDUM</w:t>
      </w:r>
    </w:p>
    <w:p>
      <w:r>
        <w:rPr>
          <w:sz w:val="20"/>
        </w:rPr>
        <w:t>TO: Investment Committee</w:t>
      </w:r>
    </w:p>
    <w:p>
      <w:r>
        <w:rPr>
          <w:sz w:val="20"/>
        </w:rPr>
        <w:t>FROM: [Your Name], Senior Investment Analyst</w:t>
      </w:r>
    </w:p>
    <w:p>
      <w:r>
        <w:rPr>
          <w:sz w:val="20"/>
        </w:rPr>
        <w:t>DATE: [Current Date]</w:t>
      </w:r>
    </w:p>
    <w:p>
      <w:r>
        <w:rPr>
          <w:sz w:val="20"/>
        </w:rPr>
        <w:t>SUBJECT: Investment Recommendation for Apple Inc. (AAPL)</w:t>
      </w:r>
    </w:p>
    <w:p/>
    <w:p>
      <w:r>
        <w:rPr>
          <w:b/>
          <w:sz w:val="24"/>
        </w:rPr>
        <w:t>1. EXECUTIVE SUMMARY</w:t>
      </w:r>
    </w:p>
    <w:p>
      <w:r>
        <w:rPr>
          <w:sz w:val="20"/>
        </w:rPr>
        <w:t>Apple Inc. (AAPL) currently presents a challenging investment landscape, with a current market price of $296.22 significantly above its DCF intrinsic value of $144.36, indicating a potential downside of 51.3%. Given the current valuation metrics and market sentiment, I recommend a SELL position on AAPL.</w:t>
      </w:r>
    </w:p>
    <w:p/>
    <w:p>
      <w:r>
        <w:rPr>
          <w:b/>
          <w:sz w:val="24"/>
        </w:rPr>
        <w:t>2. INVESTMENT THESIS</w:t>
      </w:r>
    </w:p>
    <w:p>
      <w:r>
        <w:rPr>
          <w:sz w:val="20"/>
        </w:rPr>
        <w:t>- Overvaluation Concerns: AAPL’s current price of $296.22 is substantially higher than the DCF intrinsic value of $144.36, suggesting that the stock is overvalued by more than 50%.</w:t>
      </w:r>
    </w:p>
    <w:p>
      <w:r>
        <w:rPr>
          <w:sz w:val="20"/>
        </w:rPr>
        <w:t>- High Debt Levels: The company has a Debt/Equity ratio of 3.87x, indicating a reliance on debt financing that could pose risks in a rising interest rate environment.</w:t>
      </w:r>
    </w:p>
    <w:p>
      <w:r>
        <w:rPr>
          <w:sz w:val="20"/>
        </w:rPr>
        <w:t>- Neutral Market Sentiment: The overall news sentiment is neutral (+0.150), with a slight tilt towards bearish views, which may limit upside potential in the near term.</w:t>
      </w:r>
    </w:p>
    <w:p/>
    <w:p>
      <w:r>
        <w:rPr>
          <w:b/>
          <w:sz w:val="24"/>
        </w:rPr>
        <w:t>3. FINANCIAL HIGHLIGHTS</w:t>
      </w:r>
    </w:p>
    <w:p>
      <w:r>
        <w:rPr>
          <w:sz w:val="20"/>
        </w:rPr>
        <w:t>- Revenue: $416.16B, reflecting strong sales growth.</w:t>
      </w:r>
    </w:p>
    <w:p>
      <w:r>
        <w:rPr>
          <w:sz w:val="20"/>
        </w:rPr>
        <w:t>- Net Income: $112.01B, resulting in a robust net profit margin of 26.9%.</w:t>
      </w:r>
    </w:p>
    <w:p>
      <w:r>
        <w:rPr>
          <w:sz w:val="20"/>
        </w:rPr>
        <w:t>- EPS (Diluted): $7.46, showcasing solid earnings performance.</w:t>
      </w:r>
    </w:p>
    <w:p>
      <w:r>
        <w:rPr>
          <w:sz w:val="20"/>
        </w:rPr>
        <w:t>- Return on Equity (ROE): An impressive 151.9%, indicating effective management of shareholder equity.</w:t>
      </w:r>
    </w:p>
    <w:p>
      <w:r>
        <w:rPr>
          <w:sz w:val="20"/>
        </w:rPr>
        <w:t>- Debt/Equity Ratio: At 3.87x, this high leverage could be a concern for future financial stability.</w:t>
      </w:r>
    </w:p>
    <w:p/>
    <w:p>
      <w:r>
        <w:rPr>
          <w:b/>
          <w:sz w:val="24"/>
        </w:rPr>
        <w:t>4. RISK FACTORS</w:t>
      </w:r>
    </w:p>
    <w:p>
      <w:r>
        <w:rPr>
          <w:sz w:val="20"/>
        </w:rPr>
        <w:t>1. Macroeconomic and Industry Risks: AAPL's performance is susceptible to global economic fluctuations, which could impact consumer spending on premium products.</w:t>
      </w:r>
    </w:p>
    <w:p>
      <w:r>
        <w:rPr>
          <w:sz w:val="20"/>
        </w:rPr>
        <w:t>2. Technological Integration Risks: The company’s commitment to integrating new technologies, such as AI and machine learning, poses risks if these initiatives do not meet market expectations or face significant competition.</w:t>
      </w:r>
    </w:p>
    <w:p>
      <w:r>
        <w:rPr>
          <w:sz w:val="20"/>
        </w:rPr>
        <w:t>3. Supply Chain Vulnerabilities: Disruptions in the supply chain, whether due to geopolitical tensions or global health crises, could adversely affect production and sales.</w:t>
      </w:r>
    </w:p>
    <w:p/>
    <w:p>
      <w:r>
        <w:rPr>
          <w:b/>
          <w:sz w:val="24"/>
        </w:rPr>
        <w:t>5. VALUATION SUMMARY</w:t>
      </w:r>
    </w:p>
    <w:p>
      <w:r>
        <w:rPr>
          <w:sz w:val="20"/>
        </w:rPr>
        <w:t>The DCF analysis indicates an intrinsic value of $144.36 for AAPL, representing a significant downside of 51.3% from the current market price of $296.22. In contrast, the analyst consensus target price of $312.72 suggests a modest upside potential. However, the substantial gap between the DCF valuation and the current market price raises concerns about the sustainability of AAPL's valuation in the current economic climate.</w:t>
      </w:r>
    </w:p>
    <w:p/>
    <w:p>
      <w:r>
        <w:rPr>
          <w:b/>
          <w:sz w:val="24"/>
        </w:rPr>
        <w:t>6. FINAL RECOMMENDATION</w:t>
      </w:r>
    </w:p>
    <w:p>
      <w:r>
        <w:rPr>
          <w:sz w:val="20"/>
        </w:rPr>
        <w:t>Based on the analysis of financial metrics, valuation discrepancies, and prevailing risk factors, I recommend a SELL rating for Apple Inc. (AAPL) with a 12-month price target of $144.36, aligning with the DCF intrinsic value assessment.</w:t>
      </w:r>
    </w:p>
    <w:p/>
    <w:p>
      <w:r>
        <w:rPr>
          <w:b/>
          <w:sz w:val="24"/>
        </w:rPr>
        <w:t>[End of Memo]</w:t>
      </w:r>
    </w:p>
    <w:p>
      <w:r>
        <w:br w:type="page"/>
      </w:r>
    </w:p>
    <w:p>
      <w:pPr>
        <w:jc w:val="center"/>
      </w:pPr>
      <w:r>
        <w:rPr>
          <w:color w:val="808080"/>
          <w:sz w:val="18"/>
        </w:rPr>
        <w:t>This report was generated automatically by the Agentic Financial Intelligence Platform. Data sourced from SEC EDGAR, Alpha Vantage, and yfinance. This is not financial advice.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