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467F"/>
          <w:sz w:val="48"/>
        </w:rPr>
        <w:t>Investment Research Report</w:t>
      </w:r>
    </w:p>
    <w:p>
      <w:pPr>
        <w:jc w:val="center"/>
      </w:pPr>
      <w:r>
        <w:rPr>
          <w:b/>
          <w:sz w:val="32"/>
        </w:rPr>
        <w:t>AAPL — Apple Inc.</w:t>
      </w:r>
    </w:p>
    <w:p>
      <w:pPr>
        <w:jc w:val="center"/>
      </w:pPr>
      <w:r>
        <w:rPr>
          <w:color w:val="808080"/>
        </w:rPr>
        <w:t>Generated: June 15, 2026</w:t>
      </w:r>
    </w:p>
    <w:p/>
    <w:p>
      <w:pPr>
        <w:jc w:val="center"/>
      </w:pPr>
      <w:r>
        <w:rPr>
          <w:b/>
          <w:color w:val="C80000"/>
          <w:sz w:val="36"/>
        </w:rPr>
        <w:t>RECOMMENDATION: SELL</w:t>
      </w:r>
    </w:p>
    <w:p>
      <w:r>
        <w:br w:type="page"/>
      </w:r>
    </w:p>
    <w:p>
      <w:pPr>
        <w:pStyle w:val="Heading1"/>
      </w:pPr>
      <w:r>
        <w:rPr>
          <w:color w:val="00467F"/>
        </w:rPr>
        <w:t>1. Financial Highlights</w:t>
      </w:r>
    </w:p>
    <w:p>
      <w:pPr>
        <w:spacing w:after="40"/>
      </w:pPr>
      <w:r>
        <w:rPr>
          <w:b/>
          <w:sz w:val="22"/>
        </w:rPr>
        <w:t xml:space="preserve">Revenue: </w:t>
      </w:r>
      <w:r>
        <w:rPr>
          <w:sz w:val="22"/>
        </w:rPr>
        <w:t>$416.16B</w:t>
      </w:r>
    </w:p>
    <w:p>
      <w:pPr>
        <w:spacing w:after="40"/>
      </w:pPr>
      <w:r>
        <w:rPr>
          <w:b/>
          <w:sz w:val="22"/>
        </w:rPr>
        <w:t xml:space="preserve">Net Income: </w:t>
      </w:r>
      <w:r>
        <w:rPr>
          <w:sz w:val="22"/>
        </w:rPr>
        <w:t>$112.01B</w:t>
      </w:r>
    </w:p>
    <w:p>
      <w:pPr>
        <w:spacing w:after="40"/>
      </w:pPr>
      <w:r>
        <w:rPr>
          <w:b/>
          <w:sz w:val="22"/>
        </w:rPr>
        <w:t xml:space="preserve">Operating Income: </w:t>
      </w:r>
      <w:r>
        <w:rPr>
          <w:sz w:val="22"/>
        </w:rPr>
        <w:t>$133.05B</w:t>
      </w:r>
    </w:p>
    <w:p>
      <w:pPr>
        <w:spacing w:after="40"/>
      </w:pPr>
      <w:r>
        <w:rPr>
          <w:b/>
          <w:sz w:val="22"/>
        </w:rPr>
        <w:t xml:space="preserve">EPS (Diluted): </w:t>
      </w:r>
      <w:r>
        <w:rPr>
          <w:sz w:val="22"/>
        </w:rPr>
        <w:t>$7.46</w:t>
      </w:r>
    </w:p>
    <w:p>
      <w:pPr>
        <w:spacing w:after="40"/>
      </w:pPr>
      <w:r>
        <w:rPr>
          <w:b/>
          <w:sz w:val="22"/>
        </w:rPr>
        <w:t xml:space="preserve">Total Assets: </w:t>
      </w:r>
      <w:r>
        <w:rPr>
          <w:sz w:val="22"/>
        </w:rPr>
        <w:t>$359.24B</w:t>
      </w:r>
    </w:p>
    <w:p>
      <w:pPr>
        <w:spacing w:after="40"/>
      </w:pPr>
      <w:r>
        <w:rPr>
          <w:b/>
          <w:sz w:val="22"/>
        </w:rPr>
        <w:t xml:space="preserve">Cash &amp; Equivalents: </w:t>
      </w:r>
      <w:r>
        <w:rPr>
          <w:sz w:val="22"/>
        </w:rPr>
        <w:t>$35.93B</w:t>
      </w:r>
    </w:p>
    <w:p>
      <w:pPr>
        <w:spacing w:after="40"/>
      </w:pPr>
      <w:r>
        <w:rPr>
          <w:b/>
          <w:sz w:val="22"/>
        </w:rPr>
        <w:t xml:space="preserve">Operating Cash Flow: </w:t>
      </w:r>
      <w:r>
        <w:rPr>
          <w:sz w:val="22"/>
        </w:rPr>
        <w:t>$111.48B</w:t>
      </w:r>
    </w:p>
    <w:p/>
    <w:p>
      <w:pPr>
        <w:pStyle w:val="Heading2"/>
      </w:pPr>
      <w:r>
        <w:t>Key Ratios</w:t>
      </w:r>
    </w:p>
    <w:p>
      <w:pPr>
        <w:spacing w:after="40"/>
      </w:pPr>
      <w:r>
        <w:rPr>
          <w:b/>
          <w:sz w:val="22"/>
        </w:rPr>
        <w:t xml:space="preserve">Net Profit Margin: </w:t>
      </w:r>
      <w:r>
        <w:rPr>
          <w:sz w:val="22"/>
        </w:rPr>
        <w:t>26.9%</w:t>
      </w:r>
    </w:p>
    <w:p>
      <w:pPr>
        <w:spacing w:after="40"/>
      </w:pPr>
      <w:r>
        <w:rPr>
          <w:b/>
          <w:sz w:val="22"/>
        </w:rPr>
        <w:t xml:space="preserve">Return on Assets: </w:t>
      </w:r>
      <w:r>
        <w:rPr>
          <w:sz w:val="22"/>
        </w:rPr>
        <w:t>31.2%</w:t>
      </w:r>
    </w:p>
    <w:p>
      <w:pPr>
        <w:spacing w:after="40"/>
      </w:pPr>
      <w:r>
        <w:rPr>
          <w:b/>
          <w:sz w:val="22"/>
        </w:rPr>
        <w:t xml:space="preserve">Return on Equity: </w:t>
      </w:r>
      <w:r>
        <w:rPr>
          <w:sz w:val="22"/>
        </w:rPr>
        <w:t>151.9%</w:t>
      </w:r>
    </w:p>
    <w:p>
      <w:pPr>
        <w:spacing w:after="40"/>
      </w:pPr>
      <w:r>
        <w:rPr>
          <w:b/>
          <w:sz w:val="22"/>
        </w:rPr>
        <w:t xml:space="preserve">Debt / Equity: </w:t>
      </w:r>
      <w:r>
        <w:rPr>
          <w:sz w:val="22"/>
        </w:rPr>
        <w:t>3.87x</w:t>
      </w:r>
    </w:p>
    <w:p/>
    <w:p>
      <w:pPr>
        <w:pStyle w:val="Heading1"/>
      </w:pPr>
      <w:r>
        <w:rPr>
          <w:color w:val="00467F"/>
        </w:rPr>
        <w:t>2. Valuation Analysis</w:t>
      </w:r>
    </w:p>
    <w:p>
      <w:pPr>
        <w:spacing w:after="40"/>
      </w:pPr>
      <w:r>
        <w:rPr>
          <w:b/>
          <w:sz w:val="22"/>
        </w:rPr>
        <w:t xml:space="preserve">Current Market Price: </w:t>
      </w:r>
      <w:r>
        <w:rPr>
          <w:sz w:val="22"/>
        </w:rPr>
        <w:t>$296.27</w:t>
      </w:r>
    </w:p>
    <w:p>
      <w:pPr>
        <w:spacing w:after="40"/>
      </w:pPr>
      <w:r>
        <w:rPr>
          <w:b/>
          <w:sz w:val="22"/>
        </w:rPr>
        <w:t xml:space="preserve">Market Capitalization: </w:t>
      </w:r>
      <w:r>
        <w:rPr>
          <w:sz w:val="22"/>
        </w:rPr>
        <w:t>$4.35T</w:t>
      </w:r>
    </w:p>
    <w:p>
      <w:pPr>
        <w:spacing w:after="40"/>
      </w:pPr>
      <w:r>
        <w:rPr>
          <w:b/>
          <w:sz w:val="22"/>
        </w:rPr>
        <w:t xml:space="preserve">P/E Ratio: </w:t>
      </w:r>
      <w:r>
        <w:rPr>
          <w:sz w:val="22"/>
        </w:rPr>
        <w:t>35.8x</w:t>
      </w:r>
    </w:p>
    <w:p>
      <w:pPr>
        <w:spacing w:after="40"/>
      </w:pPr>
      <w:r>
        <w:rPr>
          <w:b/>
          <w:sz w:val="22"/>
        </w:rPr>
        <w:t xml:space="preserve">52-Week High: </w:t>
      </w:r>
      <w:r>
        <w:rPr>
          <w:sz w:val="22"/>
        </w:rPr>
        <w:t>$317.40</w:t>
      </w:r>
    </w:p>
    <w:p>
      <w:pPr>
        <w:spacing w:after="40"/>
      </w:pPr>
      <w:r>
        <w:rPr>
          <w:b/>
          <w:sz w:val="22"/>
        </w:rPr>
        <w:t xml:space="preserve">52-Week Low: </w:t>
      </w:r>
      <w:r>
        <w:rPr>
          <w:sz w:val="22"/>
        </w:rPr>
        <w:t>$195.07</w:t>
      </w:r>
    </w:p>
    <w:p>
      <w:pPr>
        <w:spacing w:after="40"/>
      </w:pPr>
      <w:r>
        <w:rPr>
          <w:b/>
          <w:sz w:val="22"/>
        </w:rPr>
        <w:t xml:space="preserve">DCF Intrinsic Value: </w:t>
      </w:r>
      <w:r>
        <w:rPr>
          <w:sz w:val="22"/>
        </w:rPr>
        <w:t>$144.36</w:t>
      </w:r>
    </w:p>
    <w:p>
      <w:pPr>
        <w:spacing w:after="40"/>
      </w:pPr>
      <w:r>
        <w:rPr>
          <w:b/>
          <w:sz w:val="22"/>
        </w:rPr>
        <w:t xml:space="preserve">DCF Upside/Downside: </w:t>
      </w:r>
      <w:r>
        <w:rPr>
          <w:sz w:val="22"/>
        </w:rPr>
        <w:t>-51.3%</w:t>
      </w:r>
    </w:p>
    <w:p>
      <w:pPr>
        <w:spacing w:after="40"/>
      </w:pPr>
      <w:r>
        <w:rPr>
          <w:b/>
          <w:sz w:val="22"/>
        </w:rPr>
        <w:t xml:space="preserve">Analyst Target Price: </w:t>
      </w:r>
      <w:r>
        <w:rPr>
          <w:sz w:val="22"/>
        </w:rPr>
        <w:t>$312.72</w:t>
      </w:r>
    </w:p>
    <w:p>
      <w:pPr>
        <w:spacing w:after="40"/>
      </w:pPr>
      <w:r>
        <w:rPr>
          <w:b/>
          <w:sz w:val="22"/>
        </w:rPr>
        <w:t xml:space="preserve">Analyst Upside: </w:t>
      </w:r>
      <w:r>
        <w:rPr>
          <w:sz w:val="22"/>
        </w:rPr>
        <w:t>+5.6%</w:t>
      </w:r>
    </w:p>
    <w:p/>
    <w:p>
      <w:pPr>
        <w:pStyle w:val="Heading1"/>
      </w:pPr>
      <w:r>
        <w:rPr>
          <w:color w:val="00467F"/>
        </w:rPr>
        <w:t>3. News Sentiment Analysis</w:t>
      </w:r>
    </w:p>
    <w:p>
      <w:pPr>
        <w:spacing w:after="40"/>
      </w:pPr>
      <w:r>
        <w:rPr>
          <w:b/>
          <w:sz w:val="22"/>
        </w:rPr>
        <w:t xml:space="preserve">Overall Sentiment: </w:t>
      </w:r>
      <w:r>
        <w:rPr>
          <w:sz w:val="22"/>
        </w:rPr>
        <w:t>Neutral (+0.150)</w:t>
      </w:r>
    </w:p>
    <w:p>
      <w:pPr>
        <w:spacing w:after="40"/>
      </w:pPr>
      <w:r>
        <w:rPr>
          <w:b/>
          <w:sz w:val="22"/>
        </w:rPr>
        <w:t xml:space="preserve">Bullish Articles: </w:t>
      </w:r>
      <w:r>
        <w:rPr>
          <w:sz w:val="22"/>
        </w:rPr>
        <w:t>3</w:t>
      </w:r>
    </w:p>
    <w:p>
      <w:pPr>
        <w:spacing w:after="40"/>
      </w:pPr>
      <w:r>
        <w:rPr>
          <w:b/>
          <w:sz w:val="22"/>
        </w:rPr>
        <w:t xml:space="preserve">Neutral Articles: </w:t>
      </w:r>
      <w:r>
        <w:rPr>
          <w:sz w:val="22"/>
        </w:rPr>
        <w:t>0</w:t>
      </w:r>
    </w:p>
    <w:p>
      <w:pPr>
        <w:spacing w:after="40"/>
      </w:pPr>
      <w:r>
        <w:rPr>
          <w:b/>
          <w:sz w:val="22"/>
        </w:rPr>
        <w:t xml:space="preserve">Bearish Articles: </w:t>
      </w:r>
      <w:r>
        <w:rPr>
          <w:sz w:val="22"/>
        </w:rPr>
        <w:t>2</w:t>
      </w:r>
    </w:p>
    <w:p/>
    <w:p>
      <w:r>
        <w:rPr>
          <w:b/>
        </w:rPr>
        <w:t>Recent Headlines:</w:t>
      </w:r>
    </w:p>
    <w:p>
      <w:pPr>
        <w:pStyle w:val="ListBullet"/>
      </w:pPr>
      <w:r>
        <w:rPr>
          <w:sz w:val="20"/>
        </w:rPr>
        <w:t>▲ [20250601] AAPL Reports Strong Quarterly Earnings</w:t>
      </w:r>
    </w:p>
    <w:p>
      <w:pPr>
        <w:pStyle w:val="ListBullet"/>
      </w:pPr>
      <w:r>
        <w:rPr>
          <w:sz w:val="20"/>
        </w:rPr>
        <w:t>▼ [20250528] AAPL Faces Regulatory Scrutiny in EU Markets</w:t>
      </w:r>
    </w:p>
    <w:p>
      <w:pPr>
        <w:pStyle w:val="ListBullet"/>
      </w:pPr>
      <w:r>
        <w:rPr>
          <w:sz w:val="20"/>
        </w:rPr>
        <w:t>▲ [20250520] AAPL Announces New Product Line for 2025</w:t>
      </w:r>
    </w:p>
    <w:p>
      <w:pPr>
        <w:pStyle w:val="ListBullet"/>
      </w:pPr>
      <w:r>
        <w:rPr>
          <w:sz w:val="20"/>
        </w:rPr>
        <w:t>▲ [20250515] Analysts Raise Price Target for AAPL</w:t>
      </w:r>
    </w:p>
    <w:p>
      <w:pPr>
        <w:pStyle w:val="ListBullet"/>
      </w:pPr>
      <w:r>
        <w:rPr>
          <w:sz w:val="20"/>
        </w:rPr>
        <w:t>▼ [20250510] AAPL Supply Chain Concerns Weigh on Outlook</w:t>
      </w:r>
    </w:p>
    <w:p/>
    <w:p>
      <w:pPr>
        <w:pStyle w:val="Heading1"/>
      </w:pPr>
      <w:r>
        <w:rPr>
          <w:color w:val="00467F"/>
        </w:rPr>
        <w:t>4. Investment Memo</w:t>
      </w:r>
    </w:p>
    <w:p>
      <w:r>
        <w:rPr>
          <w:b/>
          <w:sz w:val="24"/>
        </w:rPr>
        <w:t>MEMORANDUM</w:t>
      </w:r>
    </w:p>
    <w:p>
      <w:r>
        <w:rPr>
          <w:sz w:val="20"/>
        </w:rPr>
        <w:t>TO: Investment Committee</w:t>
      </w:r>
    </w:p>
    <w:p>
      <w:r>
        <w:rPr>
          <w:sz w:val="20"/>
        </w:rPr>
        <w:t>FROM: Senior Investment Analyst</w:t>
      </w:r>
    </w:p>
    <w:p>
      <w:r>
        <w:rPr>
          <w:sz w:val="20"/>
        </w:rPr>
        <w:t>DATE: October 2023</w:t>
      </w:r>
    </w:p>
    <w:p>
      <w:r>
        <w:rPr>
          <w:sz w:val="20"/>
        </w:rPr>
        <w:t>SUBJECT: Investment Recommendation for Apple Inc. (AAPL)</w:t>
      </w:r>
    </w:p>
    <w:p/>
    <w:p>
      <w:r>
        <w:rPr>
          <w:b/>
          <w:sz w:val="24"/>
        </w:rPr>
        <w:t>1. EXECUTIVE SUMMARY</w:t>
      </w:r>
    </w:p>
    <w:p>
      <w:r>
        <w:rPr>
          <w:sz w:val="20"/>
        </w:rPr>
        <w:t>Apple Inc. (AAPL) presents a challenging investment outlook at its current price of $296.27, with a recommendation to SELL. Despite strong financial performance, the significant disparity between the DCF intrinsic value of $144.36 and the current market price suggests that AAPL is overvalued.</w:t>
      </w:r>
    </w:p>
    <w:p/>
    <w:p>
      <w:r>
        <w:rPr>
          <w:b/>
          <w:sz w:val="24"/>
        </w:rPr>
        <w:t>2. INVESTMENT THESIS</w:t>
      </w:r>
    </w:p>
    <w:p>
      <w:r>
        <w:rPr>
          <w:sz w:val="20"/>
        </w:rPr>
        <w:t>- Strong Financial Performance: AAPL reported a revenue of $416.16 billion and a net income of $112.01 billion, demonstrating robust profitability with a net profit margin of 26.9% and an impressive return on equity (ROE) of 151.9%.</w:t>
      </w:r>
    </w:p>
    <w:p>
      <w:r>
        <w:rPr>
          <w:sz w:val="20"/>
        </w:rPr>
        <w:t>- High Debt Levels: The company’s debt-to-equity ratio stands at 3.87x, indicating a high level of leverage that could pose risks in a rising interest rate environment or economic downturn.</w:t>
      </w:r>
    </w:p>
    <w:p>
      <w:r>
        <w:rPr>
          <w:sz w:val="20"/>
        </w:rPr>
        <w:t>- Market Sentiment and Valuation Concerns: The analyst consensus target price of $312.72 is marginally above the current price, while the DCF analysis indicates a significant downside of 51.3%. This discrepancy raises concerns about future growth expectations and market sentiment.</w:t>
      </w:r>
    </w:p>
    <w:p/>
    <w:p>
      <w:r>
        <w:rPr>
          <w:b/>
          <w:sz w:val="24"/>
        </w:rPr>
        <w:t>3. FINANCIAL HIGHLIGHTS</w:t>
      </w:r>
    </w:p>
    <w:p>
      <w:r>
        <w:rPr>
          <w:sz w:val="20"/>
        </w:rPr>
        <w:t>- Revenue: $416.16 billion</w:t>
      </w:r>
    </w:p>
    <w:p>
      <w:r>
        <w:rPr>
          <w:sz w:val="20"/>
        </w:rPr>
        <w:t>- Net Income: $112.01 billion</w:t>
      </w:r>
    </w:p>
    <w:p>
      <w:r>
        <w:rPr>
          <w:sz w:val="20"/>
        </w:rPr>
        <w:t>- Earnings Per Share (EPS): $7.46</w:t>
      </w:r>
    </w:p>
    <w:p>
      <w:r>
        <w:rPr>
          <w:sz w:val="20"/>
        </w:rPr>
        <w:t>- Net Profit Margin: 26.9%</w:t>
      </w:r>
    </w:p>
    <w:p>
      <w:r>
        <w:rPr>
          <w:sz w:val="20"/>
        </w:rPr>
        <w:t>- Return on Equity (ROE): 151.9%</w:t>
      </w:r>
    </w:p>
    <w:p>
      <w:r>
        <w:rPr>
          <w:sz w:val="20"/>
        </w:rPr>
        <w:t>- Debt/Equity Ratio: 3.87x</w:t>
      </w:r>
    </w:p>
    <w:p>
      <w:r>
        <w:rPr>
          <w:sz w:val="20"/>
        </w:rPr>
        <w:t>These metrics reflect a strong operational performance; however, the high leverage ratio is a critical factor to monitor.</w:t>
      </w:r>
    </w:p>
    <w:p/>
    <w:p>
      <w:r>
        <w:rPr>
          <w:b/>
          <w:sz w:val="24"/>
        </w:rPr>
        <w:t>4. RISK FACTORS</w:t>
      </w:r>
    </w:p>
    <w:p>
      <w:r>
        <w:rPr>
          <w:sz w:val="20"/>
        </w:rPr>
        <w:t>1. Macroeconomic and Industry Risks: AAPL's performance is highly sensitive to global economic conditions, which can impact consumer spending and demand for its products.</w:t>
      </w:r>
    </w:p>
    <w:p>
      <w:r>
        <w:rPr>
          <w:sz w:val="20"/>
        </w:rPr>
        <w:t>2. Technological Integration Risks: The company faces challenges in integrating new technologies, such as machine learning and artificial intelligence, which are essential for maintaining competitive advantage.</w:t>
      </w:r>
    </w:p>
    <w:p>
      <w:r>
        <w:rPr>
          <w:sz w:val="20"/>
        </w:rPr>
        <w:t>3. Market Competition: The technology sector is characterized by rapid innovation and intense competition, which could affect AAPL's market share and profitability.</w:t>
      </w:r>
    </w:p>
    <w:p/>
    <w:p>
      <w:r>
        <w:rPr>
          <w:b/>
          <w:sz w:val="24"/>
        </w:rPr>
        <w:t>5. VALUATION SUMMARY</w:t>
      </w:r>
    </w:p>
    <w:p>
      <w:r>
        <w:rPr>
          <w:sz w:val="20"/>
        </w:rPr>
        <w:t>The current market price of AAPL at $296.27 is significantly above the DCF-derived intrinsic value of $144.36, indicating a potential overvaluation of 51.3%. The analyst consensus target price of $312.72 suggests limited upside potential, reinforcing the view that the stock may not be a favorable investment at this time.</w:t>
      </w:r>
    </w:p>
    <w:p/>
    <w:p>
      <w:r>
        <w:rPr>
          <w:b/>
          <w:sz w:val="24"/>
        </w:rPr>
        <w:t>6. FINAL RECOMMENDATION</w:t>
      </w:r>
    </w:p>
    <w:p>
      <w:r>
        <w:rPr>
          <w:sz w:val="20"/>
        </w:rPr>
        <w:t>SELL with a 12-month price target of $144.36 based on DCF analysis. Given the current valuation metrics and inherent risks, investors should consider reallocating their investments to more attractive opportunities.</w:t>
      </w:r>
    </w:p>
    <w:p/>
    <w:p>
      <w:r>
        <w:rPr>
          <w:b/>
          <w:sz w:val="24"/>
        </w:rPr>
        <w:t>END OF MEMO</w:t>
      </w:r>
    </w:p>
    <w:p>
      <w:r>
        <w:br w:type="page"/>
      </w:r>
    </w:p>
    <w:p>
      <w:pPr>
        <w:jc w:val="center"/>
      </w:pPr>
      <w:r>
        <w:rPr>
          <w:color w:val="808080"/>
          <w:sz w:val="18"/>
        </w:rPr>
        <w:t>This report was generated automatically by the Agentic Financial Intelligence Platform. Data sourced from SEC EDGAR, Alpha Vantage, and yfinance. This is not financial advice.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