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Student Academic Risk Prediction and Early Intervention Using Machine Learning</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Name  Chandra Prakash Verma          roll 2500031353</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Name  Harshith Sirpuri                roll 2520030572</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p>
    <w:p w14:paraId="73BE9572">
      <w:pPr>
        <w:tabs>
          <w:tab w:val="right" w:leader="dot" w:pos="8660"/>
        </w:tabs>
        <w:spacing w:before="90" w:after="70"/>
        <w:ind w:right="500"/>
      </w:pPr>
      <w:r>
        <w:rPr>
          <w:b/>
          <w:bCs/>
        </w:rPr>
        <w:t>Introduction</w:t>
      </w:r>
      <w:r>
        <w:tab/>
      </w:r>
    </w:p>
    <w:p w14:paraId="71781E43">
      <w:pPr>
        <w:tabs>
          <w:tab w:val="right" w:leader="dot" w:pos="8660"/>
        </w:tabs>
        <w:spacing w:after="20"/>
        <w:ind w:left="400" w:right="500"/>
      </w:pPr>
      <w:r>
        <w:rPr>
          <w:sz w:val="20"/>
          <w:szCs w:val="20"/>
        </w:rPr>
        <w:t>Background</w:t>
      </w:r>
      <w:r>
        <w:rPr>
          <w:sz w:val="20"/>
          <w:szCs w:val="20"/>
        </w:rPr>
        <w:tab/>
      </w:r>
    </w:p>
    <w:p w14:paraId="282DE741">
      <w:pPr>
        <w:tabs>
          <w:tab w:val="right" w:leader="dot" w:pos="8660"/>
        </w:tabs>
        <w:spacing w:after="20"/>
        <w:ind w:left="400" w:right="500"/>
      </w:pPr>
      <w:r>
        <w:rPr>
          <w:sz w:val="20"/>
          <w:szCs w:val="20"/>
        </w:rPr>
        <w:t>Motivation for the Project</w:t>
      </w:r>
      <w:r>
        <w:rPr>
          <w:sz w:val="20"/>
          <w:szCs w:val="20"/>
        </w:rPr>
        <w:tab/>
      </w:r>
    </w:p>
    <w:p w14:paraId="040D6649">
      <w:pPr>
        <w:tabs>
          <w:tab w:val="right" w:leader="dot" w:pos="8660"/>
        </w:tabs>
        <w:spacing w:after="20"/>
        <w:ind w:left="400" w:right="500"/>
      </w:pPr>
      <w:r>
        <w:rPr>
          <w:sz w:val="20"/>
          <w:szCs w:val="20"/>
        </w:rPr>
        <w:t>Overview of the Work Carried Out</w:t>
      </w:r>
      <w:r>
        <w:rPr>
          <w:sz w:val="20"/>
          <w:szCs w:val="20"/>
        </w:rPr>
        <w:tab/>
      </w:r>
    </w:p>
    <w:p w14:paraId="11199E71">
      <w:pPr>
        <w:tabs>
          <w:tab w:val="right" w:leader="dot" w:pos="8660"/>
        </w:tabs>
        <w:spacing w:after="20"/>
        <w:ind w:left="400" w:right="500"/>
      </w:pPr>
      <w:r>
        <w:rPr>
          <w:sz w:val="20"/>
          <w:szCs w:val="20"/>
        </w:rPr>
        <w:t>Scope and Responsible-Use Statement</w:t>
      </w:r>
      <w:r>
        <w:rPr>
          <w:sz w:val="20"/>
          <w:szCs w:val="20"/>
        </w:rPr>
        <w:tab/>
      </w:r>
    </w:p>
    <w:p w14:paraId="15E19BA1">
      <w:pPr>
        <w:tabs>
          <w:tab w:val="right" w:leader="dot" w:pos="8660"/>
        </w:tabs>
        <w:spacing w:before="90" w:after="70"/>
        <w:ind w:right="500"/>
      </w:pPr>
      <w:r>
        <w:rPr>
          <w:b/>
          <w:bCs/>
        </w:rPr>
        <w:t>Problem Statement</w:t>
      </w:r>
      <w:r>
        <w:tab/>
      </w:r>
    </w:p>
    <w:p w14:paraId="0B1C28AA">
      <w:pPr>
        <w:tabs>
          <w:tab w:val="right" w:leader="dot" w:pos="8660"/>
        </w:tabs>
        <w:spacing w:after="20"/>
        <w:ind w:left="400" w:right="500"/>
      </w:pPr>
      <w:r>
        <w:rPr>
          <w:sz w:val="20"/>
          <w:szCs w:val="20"/>
        </w:rPr>
        <w:t xml:space="preserve"> Case-Study Scenario</w:t>
      </w:r>
      <w:r>
        <w:rPr>
          <w:sz w:val="20"/>
          <w:szCs w:val="20"/>
        </w:rPr>
        <w:tab/>
      </w:r>
    </w:p>
    <w:p w14:paraId="5250A593">
      <w:pPr>
        <w:tabs>
          <w:tab w:val="right" w:leader="dot" w:pos="8660"/>
        </w:tabs>
        <w:spacing w:after="20"/>
        <w:ind w:left="400" w:right="500"/>
      </w:pPr>
      <w:r>
        <w:rPr>
          <w:sz w:val="20"/>
          <w:szCs w:val="20"/>
        </w:rPr>
        <w:t>Central Case-Study Question</w:t>
      </w:r>
      <w:r>
        <w:rPr>
          <w:sz w:val="20"/>
          <w:szCs w:val="20"/>
        </w:rPr>
        <w:tab/>
      </w:r>
    </w:p>
    <w:p w14:paraId="7AECCB7F">
      <w:pPr>
        <w:tabs>
          <w:tab w:val="right" w:leader="dot" w:pos="8660"/>
        </w:tabs>
        <w:spacing w:after="20"/>
        <w:ind w:left="400" w:right="500"/>
      </w:pPr>
      <w:r>
        <w:rPr>
          <w:sz w:val="20"/>
          <w:szCs w:val="20"/>
        </w:rPr>
        <w:t>Formal Problem Definition</w:t>
      </w:r>
      <w:r>
        <w:rPr>
          <w:sz w:val="20"/>
          <w:szCs w:val="20"/>
        </w:rPr>
        <w:tab/>
      </w:r>
    </w:p>
    <w:p w14:paraId="6947B1D5">
      <w:pPr>
        <w:tabs>
          <w:tab w:val="right" w:leader="dot" w:pos="8660"/>
        </w:tabs>
        <w:spacing w:after="20"/>
        <w:ind w:left="400" w:right="500"/>
      </w:pPr>
      <w:r>
        <w:rPr>
          <w:sz w:val="20"/>
          <w:szCs w:val="20"/>
        </w:rPr>
        <w:t>Objectives that Guide the Study</w:t>
      </w:r>
      <w:r>
        <w:rPr>
          <w:sz w:val="20"/>
          <w:szCs w:val="20"/>
        </w:rPr>
        <w:tab/>
      </w:r>
    </w:p>
    <w:p w14:paraId="7E7E2B64">
      <w:pPr>
        <w:tabs>
          <w:tab w:val="right" w:leader="dot" w:pos="8660"/>
        </w:tabs>
        <w:spacing w:after="20"/>
        <w:ind w:left="400" w:right="500"/>
      </w:pPr>
      <w:r>
        <w:rPr>
          <w:sz w:val="20"/>
          <w:szCs w:val="20"/>
        </w:rPr>
        <w:t>Assumptions and Limitations</w:t>
      </w:r>
      <w:r>
        <w:rPr>
          <w:sz w:val="20"/>
          <w:szCs w:val="20"/>
        </w:rPr>
        <w:tab/>
      </w:r>
    </w:p>
    <w:p w14:paraId="498CE133">
      <w:pPr>
        <w:tabs>
          <w:tab w:val="right" w:leader="dot" w:pos="8660"/>
        </w:tabs>
        <w:spacing w:before="90" w:after="70"/>
        <w:ind w:right="500"/>
      </w:pPr>
      <w:r>
        <w:rPr>
          <w:b/>
          <w:bCs/>
        </w:rPr>
        <w:t>Dataset and Exploratory Data Analysis</w:t>
      </w:r>
    </w:p>
    <w:p w14:paraId="26772E42">
      <w:pPr>
        <w:tabs>
          <w:tab w:val="right" w:leader="dot" w:pos="8660"/>
        </w:tabs>
        <w:spacing w:before="90" w:after="70"/>
        <w:ind w:right="500"/>
      </w:pPr>
      <w:r>
        <w:rPr>
          <w:sz w:val="20"/>
          <w:szCs w:val="20"/>
        </w:rPr>
        <w:t xml:space="preserve">         About the Dataset</w:t>
      </w:r>
      <w:r>
        <w:rPr>
          <w:sz w:val="20"/>
          <w:szCs w:val="20"/>
        </w:rPr>
        <w:tab/>
      </w:r>
    </w:p>
    <w:p w14:paraId="67028976">
      <w:pPr>
        <w:tabs>
          <w:tab w:val="right" w:leader="dot" w:pos="8660"/>
        </w:tabs>
        <w:spacing w:after="20"/>
        <w:ind w:right="500"/>
        <w:rPr>
          <w:sz w:val="20"/>
          <w:szCs w:val="20"/>
        </w:rPr>
      </w:pPr>
      <w:r>
        <w:rPr>
          <w:sz w:val="20"/>
          <w:szCs w:val="20"/>
        </w:rPr>
        <w:t xml:space="preserve">         Purpose of EDA</w:t>
      </w:r>
      <w:r>
        <w:rPr>
          <w:sz w:val="20"/>
          <w:szCs w:val="20"/>
        </w:rPr>
        <w:tab/>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p>
    <w:p w14:paraId="6A03ABC9">
      <w:pPr>
        <w:tabs>
          <w:tab w:val="right" w:leader="dot" w:pos="8660"/>
        </w:tabs>
        <w:spacing w:after="20"/>
        <w:ind w:left="400" w:right="500"/>
      </w:pPr>
      <w:r>
        <w:rPr>
          <w:sz w:val="20"/>
          <w:szCs w:val="20"/>
        </w:rPr>
        <w:t xml:space="preserve"> EDA Exploration - Implementation</w:t>
      </w:r>
      <w:r>
        <w:rPr>
          <w:sz w:val="20"/>
          <w:szCs w:val="20"/>
        </w:rPr>
        <w:tab/>
      </w:r>
    </w:p>
    <w:p w14:paraId="29E21B88">
      <w:pPr>
        <w:tabs>
          <w:tab w:val="right" w:leader="dot" w:pos="8660"/>
        </w:tabs>
        <w:spacing w:after="20"/>
        <w:ind w:left="400" w:right="500"/>
      </w:pPr>
      <w:r>
        <w:rPr>
          <w:sz w:val="20"/>
          <w:szCs w:val="20"/>
        </w:rPr>
        <w:t>Summary of EDA Findings</w:t>
      </w:r>
      <w:r>
        <w:rPr>
          <w:sz w:val="20"/>
          <w:szCs w:val="20"/>
        </w:rPr>
        <w:tab/>
      </w:r>
    </w:p>
    <w:p w14:paraId="7E4626CB">
      <w:pPr>
        <w:tabs>
          <w:tab w:val="right" w:leader="dot" w:pos="8660"/>
        </w:tabs>
        <w:spacing w:before="90" w:after="70"/>
        <w:ind w:right="500"/>
      </w:pPr>
      <w:r>
        <w:rPr>
          <w:b/>
          <w:bCs/>
        </w:rPr>
        <w:t xml:space="preserve"> Algorithm Selection and Implementation</w:t>
      </w:r>
      <w:r>
        <w:tab/>
      </w:r>
    </w:p>
    <w:p w14:paraId="314B48A6">
      <w:pPr>
        <w:tabs>
          <w:tab w:val="right" w:leader="dot" w:pos="8660"/>
        </w:tabs>
        <w:spacing w:before="90" w:after="70"/>
        <w:ind w:right="500"/>
        <w:rPr>
          <w:b/>
          <w:bCs/>
        </w:rPr>
      </w:pPr>
      <w:r>
        <w:rPr>
          <w:rFonts w:ascii="Times New Roman" w:hAnsi="Times New Roman"/>
          <w:b/>
        </w:rPr>
        <w:t>Results and Graphs</w:t>
      </w:r>
    </w:p>
    <w:p w14:paraId="337A1249">
      <w:pPr>
        <w:tabs>
          <w:tab w:val="right" w:leader="dot" w:pos="8660"/>
        </w:tabs>
        <w:spacing w:before="90" w:after="70"/>
        <w:ind w:right="500"/>
        <w:rPr>
          <w:b/>
          <w:bCs/>
        </w:rPr>
      </w:pPr>
      <w:r>
        <w:rPr>
          <w:b/>
          <w:bCs/>
        </w:rPr>
        <w:t xml:space="preserve">Conclusion </w:t>
      </w:r>
    </w:p>
    <w:p w14:paraId="6EC35ED1">
      <w:pPr>
        <w:rPr>
          <w:b/>
          <w:bCs/>
        </w:rPr>
      </w:pPr>
      <w:r>
        <w:rPr>
          <w:rFonts w:ascii="Times New Roman" w:hAnsi="Times New Roman"/>
          <w:b/>
        </w:rPr>
        <w:t>References</w:t>
      </w:r>
    </w:p>
    <w:p>
      <w:pPr>
        <w:keepNext/>
        <w:pageBreakBefore/>
        <w:spacing w:before="0" w:after="140"/>
        <w:jc w:val="left"/>
      </w:pPr>
      <w:r>
        <w:rPr>
          <w:rFonts w:ascii="Times New Roman" w:hAnsi="Times New Roman"/>
          <w:b/>
          <w:color w:val="000000"/>
          <w:sz w:val="28"/>
        </w:rPr>
        <w:t>ABSTRACT</w:t>
      </w:r>
    </w:p>
    <w:p>
      <w:pPr>
        <w:spacing w:before="0" w:after="200" w:line="259" w:lineRule="auto"/>
        <w:jc w:val="both"/>
      </w:pPr>
      <w:r>
        <w:rPr>
          <w:rFonts w:ascii="Times New Roman" w:hAnsi="Times New Roman"/>
          <w:i w:val="0"/>
          <w:color w:val="000000"/>
          <w:sz w:val="22"/>
        </w:rPr>
        <w:t>The Student Academic Risk Prediction and Early Intervention System is a supervised machine-learning prototype that estimates whether a student belongs to an At-Risk or Not-At-Risk class using six academic indicators: attendance percentage, previous grades, assignment performance, internal marks, participation score, and backlog subjects. The case study demonstrates a complete workflow from dataset inspection and exploratory data analysis (EDA) to preprocessing, model training, evaluation, and prediction for a new student. The project uses a synthetic dataset containing 1,000 records and seven columns: six numerical input features and one categorical binary target, At_Risk. EDA checks the dataset structure, target balance, missing values, duplicate rows, feature distributions, and relationships among variables. The data is divided into 80% training and 20% testing subsets using stratification. StandardScaler is fitted only on the training data, and its learned parameters are applied to the training, test, and new-student records. Logistic Regression learns coefficients from the training data and converts a weighted sum into an estimated probability through the sigmoid function. A baseline threshold of 0.50 converts the probability to a YES/NO output. On the 200-record synthetic test split, the model achieved 88.50% accuracy, 87.38% precision, 90.00% recall, and 88.67% F1-score. The results demonstrate the implementation pipeline but do not establish real-world institutional performance. Real/public-data validation, threshold evaluation, and model comparison are recommended before any operational use.</w:t>
      </w:r>
    </w:p>
    <w:p>
      <w:pPr>
        <w:spacing w:before="0" w:after="80" w:line="259" w:lineRule="auto"/>
        <w:jc w:val="both"/>
      </w:pPr>
      <w:r>
        <w:rPr>
          <w:rFonts w:ascii="Times New Roman" w:hAnsi="Times New Roman"/>
          <w:i/>
          <w:color w:val="000000"/>
          <w:sz w:val="20"/>
        </w:rPr>
        <w:t>Keywords: student academic risk; supervised learning; binary classification; Logistic Regression; StandardScaler; exploratory data analysis; early-warning decision support.</w:t>
      </w:r>
    </w:p>
    <w:p>
      <w:pPr>
        <w:keepNext/>
        <w:pageBreakBefore/>
        <w:spacing w:before="0" w:after="140"/>
        <w:jc w:val="left"/>
      </w:pPr>
      <w:r>
        <w:rPr>
          <w:rFonts w:ascii="Times New Roman" w:hAnsi="Times New Roman"/>
          <w:b/>
          <w:color w:val="000000"/>
          <w:sz w:val="28"/>
        </w:rPr>
        <w:t>1. INTRODUCTION</w:t>
      </w:r>
    </w:p>
    <w:p>
      <w:pPr>
        <w:keepNext/>
        <w:spacing w:before="120" w:after="60"/>
      </w:pPr>
      <w:r>
        <w:rPr>
          <w:rFonts w:ascii="Times New Roman" w:hAnsi="Times New Roman"/>
          <w:b/>
          <w:color w:val="000000"/>
          <w:sz w:val="24"/>
        </w:rPr>
        <w:t>1.1 Background</w:t>
      </w:r>
    </w:p>
    <w:p>
      <w:pPr>
        <w:spacing w:before="0" w:after="100" w:line="259" w:lineRule="auto"/>
        <w:jc w:val="both"/>
      </w:pPr>
      <w:r>
        <w:rPr>
          <w:rFonts w:ascii="Times New Roman" w:hAnsi="Times New Roman"/>
          <w:i w:val="0"/>
          <w:color w:val="000000"/>
          <w:sz w:val="21"/>
        </w:rPr>
        <w:t>Educational institutions collect many academic indicators, including attendance, marks, assignment performance, classroom participation, and backlog history. Reviewing these indicators one by one for many students can be time-consuming. A machine-learning classifier can combine multiple indicators and produce a consistent early-warning signal that faculty can review alongside other relevant information.</w:t>
      </w:r>
    </w:p>
    <w:p>
      <w:pPr>
        <w:keepNext/>
        <w:spacing w:before="120" w:after="60"/>
      </w:pPr>
      <w:r>
        <w:rPr>
          <w:rFonts w:ascii="Times New Roman" w:hAnsi="Times New Roman"/>
          <w:b/>
          <w:color w:val="000000"/>
          <w:sz w:val="24"/>
        </w:rPr>
        <w:t>1.2 Motivation for the Project</w:t>
      </w:r>
    </w:p>
    <w:p>
      <w:pPr>
        <w:spacing w:before="0" w:after="100" w:line="259" w:lineRule="auto"/>
        <w:jc w:val="both"/>
      </w:pPr>
      <w:r>
        <w:rPr>
          <w:rFonts w:ascii="Times New Roman" w:hAnsi="Times New Roman"/>
          <w:i w:val="0"/>
          <w:color w:val="000000"/>
          <w:sz w:val="21"/>
        </w:rPr>
        <w:t>The motivation is to demonstrate how supervised learning can assist with early identification of students who may benefit from additional academic support. The intended use is to help prioritize human review and support such as tutoring, attendance follow-up, or access to learning resources. A prediction must not be treated as a definitive judgment about a student.</w:t>
      </w:r>
    </w:p>
    <w:p>
      <w:pPr>
        <w:keepNext/>
        <w:spacing w:before="120" w:after="60"/>
      </w:pPr>
      <w:r>
        <w:rPr>
          <w:rFonts w:ascii="Times New Roman" w:hAnsi="Times New Roman"/>
          <w:b/>
          <w:color w:val="000000"/>
          <w:sz w:val="24"/>
        </w:rPr>
        <w:t>1.3 Overview of the Work Carried Out</w:t>
      </w:r>
    </w:p>
    <w:p>
      <w:pPr>
        <w:spacing w:before="0" w:after="100" w:line="259" w:lineRule="auto"/>
        <w:jc w:val="both"/>
      </w:pPr>
      <w:r>
        <w:rPr>
          <w:rFonts w:ascii="Times New Roman" w:hAnsi="Times New Roman"/>
          <w:i w:val="0"/>
          <w:color w:val="000000"/>
          <w:sz w:val="21"/>
        </w:rPr>
        <w:t>The work includes loading and inspecting a CSV dataset, checking missing values and duplicates, examining class balance, plotting feature distributions and correlations, creating a stratified train/test split, standardizing inputs, fitting Logistic Regression, evaluating predictions, and demonstrating a new-student prediction. The report also records model parameters, performance graphs, and limitations so that the workflow can be reproduced and reviewed.</w:t>
      </w:r>
    </w:p>
    <w:p>
      <w:pPr>
        <w:keepNext/>
        <w:spacing w:before="120" w:after="60"/>
      </w:pPr>
      <w:r>
        <w:rPr>
          <w:rFonts w:ascii="Times New Roman" w:hAnsi="Times New Roman"/>
          <w:b/>
          <w:color w:val="000000"/>
          <w:sz w:val="24"/>
        </w:rPr>
        <w:t>1.4 Related Research Context</w:t>
      </w:r>
    </w:p>
    <w:p>
      <w:pPr>
        <w:spacing w:before="0" w:after="100" w:line="259" w:lineRule="auto"/>
        <w:jc w:val="both"/>
      </w:pPr>
      <w:r>
        <w:rPr>
          <w:rFonts w:ascii="Times New Roman" w:hAnsi="Times New Roman"/>
          <w:i w:val="0"/>
          <w:color w:val="000000"/>
          <w:sz w:val="21"/>
        </w:rPr>
        <w:t>Martins et al. [1] studied early prediction of higher-education student outcomes using enrollment-time academic, demographic, and socio-economic information. Their work highlights the challenge of class imbalance and the need to look beyond accuracy alone. Yakubu and Abubakar [2] used university student-information-system data to predict CGPA-based academic success and included Logistic Regression among their approaches; its variables and findings are specific to the study context. Villar and de Andrade [3] compared several supervised algorithms for dropout and academic-success prediction, reporting strong results from tuned boosting models and examining imbalance handling and explainability. These studies support the relevance of student-outcome prediction, while their institution-specific data and differing target definitions limit direct comparison with the present synthetic binary prototype.</w:t>
      </w:r>
    </w:p>
    <w:p>
      <w:pPr>
        <w:keepNext/>
        <w:spacing w:before="120" w:after="60"/>
      </w:pPr>
      <w:r>
        <w:rPr>
          <w:rFonts w:ascii="Times New Roman" w:hAnsi="Times New Roman"/>
          <w:b/>
          <w:color w:val="000000"/>
          <w:sz w:val="24"/>
        </w:rPr>
        <w:t>1.5 Scope and Responsible-Use Statement</w:t>
      </w:r>
    </w:p>
    <w:p>
      <w:pPr>
        <w:spacing w:before="0" w:after="100" w:line="259" w:lineRule="auto"/>
        <w:jc w:val="both"/>
      </w:pPr>
      <w:r>
        <w:rPr>
          <w:rFonts w:ascii="Times New Roman" w:hAnsi="Times New Roman"/>
          <w:i w:val="0"/>
          <w:color w:val="000000"/>
          <w:sz w:val="21"/>
        </w:rPr>
        <w:t>This case study is a prototype using synthetic data, not a deployed student-monitoring system. It does not use real student records, and its metrics must not be generalized to a real institution. If developed further, the system should be validated on a suitable dataset, reviewed for bias and reliability, protected against unauthorized disclosure, and used only to support—not replace—faculty judgment.</w:t>
      </w:r>
    </w:p>
    <w:p>
      <w:pPr>
        <w:keepNext/>
        <w:pageBreakBefore/>
        <w:spacing w:before="0" w:after="140"/>
        <w:jc w:val="left"/>
      </w:pPr>
      <w:r>
        <w:rPr>
          <w:rFonts w:ascii="Times New Roman" w:hAnsi="Times New Roman"/>
          <w:b/>
          <w:color w:val="000000"/>
          <w:sz w:val="28"/>
        </w:rPr>
        <w:t>2. PROBLEM STATEMENT</w:t>
      </w:r>
    </w:p>
    <w:p>
      <w:pPr>
        <w:keepNext/>
        <w:spacing w:before="120" w:after="60"/>
      </w:pPr>
      <w:r>
        <w:rPr>
          <w:rFonts w:ascii="Times New Roman" w:hAnsi="Times New Roman"/>
          <w:b/>
          <w:color w:val="000000"/>
          <w:sz w:val="24"/>
        </w:rPr>
        <w:t>2.1 Case-Study Scenario</w:t>
      </w:r>
    </w:p>
    <w:p>
      <w:pPr>
        <w:spacing w:before="0" w:after="100" w:line="259" w:lineRule="auto"/>
        <w:jc w:val="both"/>
      </w:pPr>
      <w:r>
        <w:rPr>
          <w:rFonts w:ascii="Times New Roman" w:hAnsi="Times New Roman"/>
          <w:i w:val="0"/>
          <w:color w:val="000000"/>
          <w:sz w:val="21"/>
        </w:rPr>
        <w:t>Consider a college department that wants to identify students who may be experiencing academic difficulty before a major examination or semester outcome. Faculty can examine six indicators—attendance, previous grades, assignment performance, internal marks, participation, and backlogs. The proposed prototype combines these indicators and returns an estimated probability and a binary At-Risk / Not-At-Risk result. Faculty may use that output as a prompt for a supportive review, not as an automatic disciplinary or academic decision.</w:t>
      </w:r>
    </w:p>
    <w:p>
      <w:pPr>
        <w:keepNext/>
        <w:spacing w:before="120" w:after="60"/>
      </w:pPr>
      <w:r>
        <w:rPr>
          <w:rFonts w:ascii="Times New Roman" w:hAnsi="Times New Roman"/>
          <w:b/>
          <w:color w:val="000000"/>
          <w:sz w:val="24"/>
        </w:rPr>
        <w:t>2.2 Central Case-Study Question</w:t>
      </w:r>
    </w:p>
    <w:p>
      <w:pPr>
        <w:spacing w:before="0" w:after="100" w:line="259" w:lineRule="auto"/>
        <w:jc w:val="both"/>
      </w:pPr>
      <w:r>
        <w:rPr>
          <w:rFonts w:ascii="Times New Roman" w:hAnsi="Times New Roman"/>
          <w:i w:val="0"/>
          <w:color w:val="000000"/>
          <w:sz w:val="21"/>
        </w:rPr>
        <w:t>Can a Logistic Regression classifier, trained on six academic indicators in a labelled synthetic dataset, predict the At_Risk = Yes/No label on held-out records and provide an interpretable baseline for an early-warning workflow?</w:t>
      </w:r>
    </w:p>
    <w:p>
      <w:pPr>
        <w:keepNext/>
        <w:spacing w:before="120" w:after="60"/>
      </w:pPr>
      <w:r>
        <w:rPr>
          <w:rFonts w:ascii="Times New Roman" w:hAnsi="Times New Roman"/>
          <w:b/>
          <w:color w:val="000000"/>
          <w:sz w:val="24"/>
        </w:rPr>
        <w:t>2.3 Formal Problem Definition</w:t>
      </w:r>
    </w:p>
    <w:p>
      <w:pPr>
        <w:spacing w:before="0" w:after="100" w:line="259" w:lineRule="auto"/>
        <w:jc w:val="both"/>
      </w:pPr>
      <w:r>
        <w:rPr>
          <w:rFonts w:ascii="Times New Roman" w:hAnsi="Times New Roman"/>
          <w:i w:val="0"/>
          <w:color w:val="000000"/>
          <w:sz w:val="21"/>
        </w:rPr>
        <w:t>Each record is represented by a feature vector x = (x1, x2, x3, x4, x5, x6), where the six components are the numerical academic indicators. The target y belongs to {0, 1}, with No mapped to 0 and Yes mapped to 1. The task is supervised binary classification. Logistic Regression calculates a score from the standardized features, converts it to P(y = 1), and assigns YES when the probability is at least 0.50; otherwise, it assigns NO.</w:t>
      </w:r>
    </w:p>
    <w:p>
      <w:pPr>
        <w:keepNext/>
        <w:spacing w:before="120" w:after="60"/>
      </w:pPr>
      <w:r>
        <w:rPr>
          <w:rFonts w:ascii="Times New Roman" w:hAnsi="Times New Roman"/>
          <w:b/>
          <w:color w:val="000000"/>
          <w:sz w:val="24"/>
        </w:rPr>
        <w:t>2.4 Objectives that Guide the Study</w:t>
      </w:r>
    </w:p>
    <w:p>
      <w:pPr>
        <w:spacing w:after="40" w:line="245" w:lineRule="auto"/>
        <w:ind w:left="360" w:hanging="202"/>
      </w:pPr>
      <w:r>
        <w:rPr>
          <w:rFonts w:ascii="Times New Roman" w:hAnsi="Times New Roman"/>
          <w:color w:val="000000"/>
          <w:sz w:val="21"/>
        </w:rPr>
        <w:t>• Inspect the structure, type, completeness, and distribution of the student dataset.</w:t>
      </w:r>
    </w:p>
    <w:p>
      <w:pPr>
        <w:spacing w:after="40" w:line="245" w:lineRule="auto"/>
        <w:ind w:left="360" w:hanging="202"/>
      </w:pPr>
      <w:r>
        <w:rPr>
          <w:rFonts w:ascii="Times New Roman" w:hAnsi="Times New Roman"/>
          <w:color w:val="000000"/>
          <w:sz w:val="21"/>
        </w:rPr>
        <w:t>• Use EDA graphs to understand class balance and feature-level patterns.</w:t>
      </w:r>
    </w:p>
    <w:p>
      <w:pPr>
        <w:spacing w:after="40" w:line="245" w:lineRule="auto"/>
        <w:ind w:left="360" w:hanging="202"/>
      </w:pPr>
      <w:r>
        <w:rPr>
          <w:rFonts w:ascii="Times New Roman" w:hAnsi="Times New Roman"/>
          <w:color w:val="000000"/>
          <w:sz w:val="21"/>
        </w:rPr>
        <w:t>• Apply an 80:20 stratified split and fit StandardScaler using training data only.</w:t>
      </w:r>
    </w:p>
    <w:p>
      <w:pPr>
        <w:spacing w:after="40" w:line="245" w:lineRule="auto"/>
        <w:ind w:left="360" w:hanging="202"/>
      </w:pPr>
      <w:r>
        <w:rPr>
          <w:rFonts w:ascii="Times New Roman" w:hAnsi="Times New Roman"/>
          <w:color w:val="000000"/>
          <w:sz w:val="21"/>
        </w:rPr>
        <w:t>• Train Logistic Regression and report learned coefficients and intercept.</w:t>
      </w:r>
    </w:p>
    <w:p>
      <w:pPr>
        <w:spacing w:after="40" w:line="245" w:lineRule="auto"/>
        <w:ind w:left="360" w:hanging="202"/>
      </w:pPr>
      <w:r>
        <w:rPr>
          <w:rFonts w:ascii="Times New Roman" w:hAnsi="Times New Roman"/>
          <w:color w:val="000000"/>
          <w:sz w:val="21"/>
        </w:rPr>
        <w:t>• Evaluate the held-out test predictions with accuracy, precision, recall, F1-score, and a confusion matrix.</w:t>
      </w:r>
    </w:p>
    <w:p>
      <w:pPr>
        <w:spacing w:after="40" w:line="245" w:lineRule="auto"/>
        <w:ind w:left="360" w:hanging="202"/>
      </w:pPr>
      <w:r>
        <w:rPr>
          <w:rFonts w:ascii="Times New Roman" w:hAnsi="Times New Roman"/>
          <w:color w:val="000000"/>
          <w:sz w:val="21"/>
        </w:rPr>
        <w:t>• Demonstrate an end-to-end prediction for a new student and document assumptions and limitations.</w:t>
      </w:r>
    </w:p>
    <w:p>
      <w:pPr>
        <w:keepNext/>
        <w:spacing w:before="120" w:after="60"/>
      </w:pPr>
      <w:r>
        <w:rPr>
          <w:rFonts w:ascii="Times New Roman" w:hAnsi="Times New Roman"/>
          <w:b/>
          <w:color w:val="000000"/>
          <w:sz w:val="24"/>
        </w:rPr>
        <w:t>2.5 Assumptions and Limitations</w:t>
      </w:r>
    </w:p>
    <w:p>
      <w:pPr>
        <w:spacing w:before="0" w:after="100" w:line="259" w:lineRule="auto"/>
        <w:jc w:val="both"/>
      </w:pPr>
      <w:r>
        <w:rPr>
          <w:rFonts w:ascii="Times New Roman" w:hAnsi="Times New Roman"/>
          <w:i w:val="0"/>
          <w:color w:val="000000"/>
          <w:sz w:val="21"/>
        </w:rPr>
        <w:t>The labels are synthetic and were prepared for prototype demonstration; they are not verified institutional outcomes. The 0.50 threshold is a baseline decision threshold, not a threshold optimized through a separate validation study. Only one primary classifier is used. The model has not been externally validated, and an estimated probability should not be interpreted as a calibrated real-world risk percentage without additional evaluation.</w:t>
      </w:r>
    </w:p>
    <w:p>
      <w:pPr>
        <w:keepNext/>
        <w:pageBreakBefore/>
        <w:spacing w:before="0" w:after="140"/>
        <w:jc w:val="left"/>
      </w:pPr>
      <w:r>
        <w:rPr>
          <w:rFonts w:ascii="Times New Roman" w:hAnsi="Times New Roman"/>
          <w:b/>
          <w:color w:val="000000"/>
          <w:sz w:val="28"/>
        </w:rPr>
        <w:t>3. DATASET AND EXPLORATORY DATA ANALYSIS</w:t>
      </w:r>
    </w:p>
    <w:p>
      <w:pPr>
        <w:keepNext/>
        <w:spacing w:before="120" w:after="60"/>
      </w:pPr>
      <w:r>
        <w:rPr>
          <w:rFonts w:ascii="Times New Roman" w:hAnsi="Times New Roman"/>
          <w:b/>
          <w:color w:val="000000"/>
          <w:sz w:val="24"/>
        </w:rPr>
        <w:t>3.1 About the Dataset</w:t>
      </w:r>
    </w:p>
    <w:p>
      <w:pPr>
        <w:spacing w:before="0" w:after="100" w:line="259" w:lineRule="auto"/>
        <w:jc w:val="both"/>
      </w:pPr>
      <w:r>
        <w:rPr>
          <w:rFonts w:ascii="Times New Roman" w:hAnsi="Times New Roman"/>
          <w:i w:val="0"/>
          <w:color w:val="000000"/>
          <w:sz w:val="21"/>
        </w:rPr>
        <w:t>The project dataset, Student_Academic_Risk_Dataset.csv, contains 1,000 synthetic student records and seven columns. Six columns are numerical inputs; At_Risk is the categorical binary target. The target distribution is balanced at 500 No and 500 Yes records.</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3024"/>
            <w:vAlign w:val="center"/>
            <w:shd w:fill="D9EAF7"/>
          </w:tcPr>
          <w:p>
            <w:pPr>
              <w:spacing w:after="0" w:before="0"/>
              <w:jc w:val="center"/>
            </w:pPr>
            <w:r/>
            <w:r>
              <w:rPr>
                <w:rFonts w:ascii="Times New Roman" w:hAnsi="Times New Roman"/>
                <w:b/>
                <w:color w:val="000000"/>
                <w:sz w:val="17"/>
              </w:rPr>
              <w:t>Column</w:t>
            </w:r>
          </w:p>
        </w:tc>
        <w:tc>
          <w:tcPr>
            <w:tcW w:type="dxa" w:w="2088"/>
            <w:vAlign w:val="center"/>
            <w:shd w:fill="D9EAF7"/>
          </w:tcPr>
          <w:p>
            <w:pPr>
              <w:spacing w:after="0" w:before="0"/>
              <w:jc w:val="center"/>
            </w:pPr>
            <w:r/>
            <w:r>
              <w:rPr>
                <w:rFonts w:ascii="Times New Roman" w:hAnsi="Times New Roman"/>
                <w:b/>
                <w:color w:val="000000"/>
                <w:sz w:val="17"/>
              </w:rPr>
              <w:t>Type</w:t>
            </w:r>
          </w:p>
        </w:tc>
        <w:tc>
          <w:tcPr>
            <w:tcW w:type="dxa" w:w="4032"/>
            <w:vAlign w:val="center"/>
            <w:shd w:fill="D9EAF7"/>
          </w:tcPr>
          <w:p>
            <w:pPr>
              <w:spacing w:after="0" w:before="0"/>
              <w:jc w:val="center"/>
            </w:pPr>
            <w:r/>
            <w:r>
              <w:rPr>
                <w:rFonts w:ascii="Times New Roman" w:hAnsi="Times New Roman"/>
                <w:b/>
                <w:color w:val="000000"/>
                <w:sz w:val="17"/>
              </w:rPr>
              <w:t>Role / Meaning</w:t>
            </w:r>
          </w:p>
        </w:tc>
      </w:tr>
      <w:tr>
        <w:tc>
          <w:tcPr>
            <w:tcW w:type="dxa" w:w="3024"/>
            <w:vAlign w:val="center"/>
          </w:tcPr>
          <w:p>
            <w:pPr>
              <w:spacing w:after="0" w:before="0"/>
              <w:jc w:val="left"/>
            </w:pPr>
            <w:r/>
            <w:r>
              <w:rPr>
                <w:rFonts w:ascii="Times New Roman" w:hAnsi="Times New Roman"/>
                <w:b w:val="0"/>
                <w:color w:val="000000"/>
                <w:sz w:val="17"/>
              </w:rPr>
              <w:t>Attendance_Percentage</w:t>
            </w:r>
          </w:p>
        </w:tc>
        <w:tc>
          <w:tcPr>
            <w:tcW w:type="dxa" w:w="2088"/>
            <w:vAlign w:val="center"/>
          </w:tcPr>
          <w:p>
            <w:pPr>
              <w:spacing w:after="0" w:before="0"/>
              <w:jc w:val="left"/>
            </w:pPr>
            <w:r/>
            <w:r>
              <w:rPr>
                <w:rFonts w:ascii="Times New Roman" w:hAnsi="Times New Roman"/>
                <w:b w:val="0"/>
                <w:color w:val="000000"/>
                <w:sz w:val="17"/>
              </w:rPr>
              <w:t>Numerical</w:t>
            </w:r>
          </w:p>
        </w:tc>
        <w:tc>
          <w:tcPr>
            <w:tcW w:type="dxa" w:w="4032"/>
            <w:vAlign w:val="center"/>
          </w:tcPr>
          <w:p>
            <w:pPr>
              <w:spacing w:after="0" w:before="0"/>
              <w:jc w:val="left"/>
            </w:pPr>
            <w:r/>
            <w:r>
              <w:rPr>
                <w:rFonts w:ascii="Times New Roman" w:hAnsi="Times New Roman"/>
                <w:b w:val="0"/>
                <w:color w:val="000000"/>
                <w:sz w:val="17"/>
              </w:rPr>
              <w:t>Percentage of classes attended</w:t>
            </w:r>
          </w:p>
        </w:tc>
      </w:tr>
      <w:tr>
        <w:tc>
          <w:tcPr>
            <w:tcW w:type="dxa" w:w="3024"/>
            <w:vAlign w:val="center"/>
          </w:tcPr>
          <w:p>
            <w:pPr>
              <w:spacing w:after="0" w:before="0"/>
              <w:jc w:val="left"/>
            </w:pPr>
            <w:r/>
            <w:r>
              <w:rPr>
                <w:rFonts w:ascii="Times New Roman" w:hAnsi="Times New Roman"/>
                <w:b w:val="0"/>
                <w:color w:val="000000"/>
                <w:sz w:val="17"/>
              </w:rPr>
              <w:t>Previous_Grades</w:t>
            </w:r>
          </w:p>
        </w:tc>
        <w:tc>
          <w:tcPr>
            <w:tcW w:type="dxa" w:w="2088"/>
            <w:vAlign w:val="center"/>
          </w:tcPr>
          <w:p>
            <w:pPr>
              <w:spacing w:after="0" w:before="0"/>
              <w:jc w:val="left"/>
            </w:pPr>
            <w:r/>
            <w:r>
              <w:rPr>
                <w:rFonts w:ascii="Times New Roman" w:hAnsi="Times New Roman"/>
                <w:b w:val="0"/>
                <w:color w:val="000000"/>
                <w:sz w:val="17"/>
              </w:rPr>
              <w:t>Numerical</w:t>
            </w:r>
          </w:p>
        </w:tc>
        <w:tc>
          <w:tcPr>
            <w:tcW w:type="dxa" w:w="4032"/>
            <w:vAlign w:val="center"/>
          </w:tcPr>
          <w:p>
            <w:pPr>
              <w:spacing w:after="0" w:before="0"/>
              <w:jc w:val="left"/>
            </w:pPr>
            <w:r/>
            <w:r>
              <w:rPr>
                <w:rFonts w:ascii="Times New Roman" w:hAnsi="Times New Roman"/>
                <w:b w:val="0"/>
                <w:color w:val="000000"/>
                <w:sz w:val="17"/>
              </w:rPr>
              <w:t>Previous academic performance</w:t>
            </w:r>
          </w:p>
        </w:tc>
      </w:tr>
      <w:tr>
        <w:tc>
          <w:tcPr>
            <w:tcW w:type="dxa" w:w="3024"/>
            <w:vAlign w:val="center"/>
          </w:tcPr>
          <w:p>
            <w:pPr>
              <w:spacing w:after="0" w:before="0"/>
              <w:jc w:val="left"/>
            </w:pPr>
            <w:r/>
            <w:r>
              <w:rPr>
                <w:rFonts w:ascii="Times New Roman" w:hAnsi="Times New Roman"/>
                <w:b w:val="0"/>
                <w:color w:val="000000"/>
                <w:sz w:val="17"/>
              </w:rPr>
              <w:t>Assignment_Performance</w:t>
            </w:r>
          </w:p>
        </w:tc>
        <w:tc>
          <w:tcPr>
            <w:tcW w:type="dxa" w:w="2088"/>
            <w:vAlign w:val="center"/>
          </w:tcPr>
          <w:p>
            <w:pPr>
              <w:spacing w:after="0" w:before="0"/>
              <w:jc w:val="left"/>
            </w:pPr>
            <w:r/>
            <w:r>
              <w:rPr>
                <w:rFonts w:ascii="Times New Roman" w:hAnsi="Times New Roman"/>
                <w:b w:val="0"/>
                <w:color w:val="000000"/>
                <w:sz w:val="17"/>
              </w:rPr>
              <w:t>Numerical</w:t>
            </w:r>
          </w:p>
        </w:tc>
        <w:tc>
          <w:tcPr>
            <w:tcW w:type="dxa" w:w="4032"/>
            <w:vAlign w:val="center"/>
          </w:tcPr>
          <w:p>
            <w:pPr>
              <w:spacing w:after="0" w:before="0"/>
              <w:jc w:val="left"/>
            </w:pPr>
            <w:r/>
            <w:r>
              <w:rPr>
                <w:rFonts w:ascii="Times New Roman" w:hAnsi="Times New Roman"/>
                <w:b w:val="0"/>
                <w:color w:val="000000"/>
                <w:sz w:val="17"/>
              </w:rPr>
              <w:t>Assignment performance indicator</w:t>
            </w:r>
          </w:p>
        </w:tc>
      </w:tr>
      <w:tr>
        <w:tc>
          <w:tcPr>
            <w:tcW w:type="dxa" w:w="3024"/>
            <w:vAlign w:val="center"/>
          </w:tcPr>
          <w:p>
            <w:pPr>
              <w:spacing w:after="0" w:before="0"/>
              <w:jc w:val="left"/>
            </w:pPr>
            <w:r/>
            <w:r>
              <w:rPr>
                <w:rFonts w:ascii="Times New Roman" w:hAnsi="Times New Roman"/>
                <w:b w:val="0"/>
                <w:color w:val="000000"/>
                <w:sz w:val="17"/>
              </w:rPr>
              <w:t>Internal_Marks</w:t>
            </w:r>
          </w:p>
        </w:tc>
        <w:tc>
          <w:tcPr>
            <w:tcW w:type="dxa" w:w="2088"/>
            <w:vAlign w:val="center"/>
          </w:tcPr>
          <w:p>
            <w:pPr>
              <w:spacing w:after="0" w:before="0"/>
              <w:jc w:val="left"/>
            </w:pPr>
            <w:r/>
            <w:r>
              <w:rPr>
                <w:rFonts w:ascii="Times New Roman" w:hAnsi="Times New Roman"/>
                <w:b w:val="0"/>
                <w:color w:val="000000"/>
                <w:sz w:val="17"/>
              </w:rPr>
              <w:t>Numerical</w:t>
            </w:r>
          </w:p>
        </w:tc>
        <w:tc>
          <w:tcPr>
            <w:tcW w:type="dxa" w:w="4032"/>
            <w:vAlign w:val="center"/>
          </w:tcPr>
          <w:p>
            <w:pPr>
              <w:spacing w:after="0" w:before="0"/>
              <w:jc w:val="left"/>
            </w:pPr>
            <w:r/>
            <w:r>
              <w:rPr>
                <w:rFonts w:ascii="Times New Roman" w:hAnsi="Times New Roman"/>
                <w:b w:val="0"/>
                <w:color w:val="000000"/>
                <w:sz w:val="17"/>
              </w:rPr>
              <w:t>Internal assessment marks</w:t>
            </w:r>
          </w:p>
        </w:tc>
      </w:tr>
      <w:tr>
        <w:tc>
          <w:tcPr>
            <w:tcW w:type="dxa" w:w="3024"/>
            <w:vAlign w:val="center"/>
          </w:tcPr>
          <w:p>
            <w:pPr>
              <w:spacing w:after="0" w:before="0"/>
              <w:jc w:val="left"/>
            </w:pPr>
            <w:r/>
            <w:r>
              <w:rPr>
                <w:rFonts w:ascii="Times New Roman" w:hAnsi="Times New Roman"/>
                <w:b w:val="0"/>
                <w:color w:val="000000"/>
                <w:sz w:val="17"/>
              </w:rPr>
              <w:t>Participation_Score</w:t>
            </w:r>
          </w:p>
        </w:tc>
        <w:tc>
          <w:tcPr>
            <w:tcW w:type="dxa" w:w="2088"/>
            <w:vAlign w:val="center"/>
          </w:tcPr>
          <w:p>
            <w:pPr>
              <w:spacing w:after="0" w:before="0"/>
              <w:jc w:val="left"/>
            </w:pPr>
            <w:r/>
            <w:r>
              <w:rPr>
                <w:rFonts w:ascii="Times New Roman" w:hAnsi="Times New Roman"/>
                <w:b w:val="0"/>
                <w:color w:val="000000"/>
                <w:sz w:val="17"/>
              </w:rPr>
              <w:t>Numerical</w:t>
            </w:r>
          </w:p>
        </w:tc>
        <w:tc>
          <w:tcPr>
            <w:tcW w:type="dxa" w:w="4032"/>
            <w:vAlign w:val="center"/>
          </w:tcPr>
          <w:p>
            <w:pPr>
              <w:spacing w:after="0" w:before="0"/>
              <w:jc w:val="left"/>
            </w:pPr>
            <w:r/>
            <w:r>
              <w:rPr>
                <w:rFonts w:ascii="Times New Roman" w:hAnsi="Times New Roman"/>
                <w:b w:val="0"/>
                <w:color w:val="000000"/>
                <w:sz w:val="17"/>
              </w:rPr>
              <w:t>Participation score on a 1–10 scale</w:t>
            </w:r>
          </w:p>
        </w:tc>
      </w:tr>
      <w:tr>
        <w:tc>
          <w:tcPr>
            <w:tcW w:type="dxa" w:w="3024"/>
            <w:vAlign w:val="center"/>
          </w:tcPr>
          <w:p>
            <w:pPr>
              <w:spacing w:after="0" w:before="0"/>
              <w:jc w:val="left"/>
            </w:pPr>
            <w:r/>
            <w:r>
              <w:rPr>
                <w:rFonts w:ascii="Times New Roman" w:hAnsi="Times New Roman"/>
                <w:b w:val="0"/>
                <w:color w:val="000000"/>
                <w:sz w:val="17"/>
              </w:rPr>
              <w:t>Backlog_Subjects</w:t>
            </w:r>
          </w:p>
        </w:tc>
        <w:tc>
          <w:tcPr>
            <w:tcW w:type="dxa" w:w="2088"/>
            <w:vAlign w:val="center"/>
          </w:tcPr>
          <w:p>
            <w:pPr>
              <w:spacing w:after="0" w:before="0"/>
              <w:jc w:val="left"/>
            </w:pPr>
            <w:r/>
            <w:r>
              <w:rPr>
                <w:rFonts w:ascii="Times New Roman" w:hAnsi="Times New Roman"/>
                <w:b w:val="0"/>
                <w:color w:val="000000"/>
                <w:sz w:val="17"/>
              </w:rPr>
              <w:t>Numerical</w:t>
            </w:r>
          </w:p>
        </w:tc>
        <w:tc>
          <w:tcPr>
            <w:tcW w:type="dxa" w:w="4032"/>
            <w:vAlign w:val="center"/>
          </w:tcPr>
          <w:p>
            <w:pPr>
              <w:spacing w:after="0" w:before="0"/>
              <w:jc w:val="left"/>
            </w:pPr>
            <w:r/>
            <w:r>
              <w:rPr>
                <w:rFonts w:ascii="Times New Roman" w:hAnsi="Times New Roman"/>
                <w:b w:val="0"/>
                <w:color w:val="000000"/>
                <w:sz w:val="17"/>
              </w:rPr>
              <w:t>Count of backlog subjects</w:t>
            </w:r>
          </w:p>
        </w:tc>
      </w:tr>
      <w:tr>
        <w:tc>
          <w:tcPr>
            <w:tcW w:type="dxa" w:w="3024"/>
            <w:vAlign w:val="center"/>
          </w:tcPr>
          <w:p>
            <w:pPr>
              <w:spacing w:after="0" w:before="0"/>
              <w:jc w:val="left"/>
            </w:pPr>
            <w:r/>
            <w:r>
              <w:rPr>
                <w:rFonts w:ascii="Times New Roman" w:hAnsi="Times New Roman"/>
                <w:b w:val="0"/>
                <w:color w:val="000000"/>
                <w:sz w:val="17"/>
              </w:rPr>
              <w:t>At_Risk</w:t>
            </w:r>
          </w:p>
        </w:tc>
        <w:tc>
          <w:tcPr>
            <w:tcW w:type="dxa" w:w="2088"/>
            <w:vAlign w:val="center"/>
          </w:tcPr>
          <w:p>
            <w:pPr>
              <w:spacing w:after="0" w:before="0"/>
              <w:jc w:val="left"/>
            </w:pPr>
            <w:r/>
            <w:r>
              <w:rPr>
                <w:rFonts w:ascii="Times New Roman" w:hAnsi="Times New Roman"/>
                <w:b w:val="0"/>
                <w:color w:val="000000"/>
                <w:sz w:val="17"/>
              </w:rPr>
              <w:t>Categorical (binary)</w:t>
            </w:r>
          </w:p>
        </w:tc>
        <w:tc>
          <w:tcPr>
            <w:tcW w:type="dxa" w:w="4032"/>
            <w:vAlign w:val="center"/>
          </w:tcPr>
          <w:p>
            <w:pPr>
              <w:spacing w:after="0" w:before="0"/>
              <w:jc w:val="left"/>
            </w:pPr>
            <w:r/>
            <w:r>
              <w:rPr>
                <w:rFonts w:ascii="Times New Roman" w:hAnsi="Times New Roman"/>
                <w:b w:val="0"/>
                <w:color w:val="000000"/>
                <w:sz w:val="17"/>
              </w:rPr>
              <w:t>Target: No = Not At Risk; Yes = At Risk</w:t>
            </w:r>
          </w:p>
        </w:tc>
      </w:tr>
    </w:tbl>
    <w:p>
      <w:pPr>
        <w:spacing w:after="20"/>
      </w:pPr>
    </w:p>
    <w:p>
      <w:pPr>
        <w:keepNext/>
        <w:spacing w:before="120" w:after="60"/>
      </w:pPr>
      <w:r>
        <w:rPr>
          <w:rFonts w:ascii="Times New Roman" w:hAnsi="Times New Roman"/>
          <w:b/>
          <w:color w:val="000000"/>
          <w:sz w:val="24"/>
        </w:rPr>
        <w:t>3.2 Data Quality Checks</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2232"/>
            <w:vAlign w:val="center"/>
            <w:shd w:fill="D9EAF7"/>
          </w:tcPr>
          <w:p>
            <w:pPr>
              <w:spacing w:after="0" w:before="0"/>
              <w:jc w:val="center"/>
            </w:pPr>
            <w:r/>
            <w:r>
              <w:rPr>
                <w:rFonts w:ascii="Times New Roman" w:hAnsi="Times New Roman"/>
                <w:b/>
                <w:color w:val="000000"/>
                <w:sz w:val="18"/>
              </w:rPr>
              <w:t>Check</w:t>
            </w:r>
          </w:p>
        </w:tc>
        <w:tc>
          <w:tcPr>
            <w:tcW w:type="dxa" w:w="2232"/>
            <w:vAlign w:val="center"/>
            <w:shd w:fill="D9EAF7"/>
          </w:tcPr>
          <w:p>
            <w:pPr>
              <w:spacing w:after="0" w:before="0"/>
              <w:jc w:val="center"/>
            </w:pPr>
            <w:r/>
            <w:r>
              <w:rPr>
                <w:rFonts w:ascii="Times New Roman" w:hAnsi="Times New Roman"/>
                <w:b/>
                <w:color w:val="000000"/>
                <w:sz w:val="18"/>
              </w:rPr>
              <w:t>Observed result</w:t>
            </w:r>
          </w:p>
        </w:tc>
        <w:tc>
          <w:tcPr>
            <w:tcW w:type="dxa" w:w="4680"/>
            <w:vAlign w:val="center"/>
            <w:shd w:fill="D9EAF7"/>
          </w:tcPr>
          <w:p>
            <w:pPr>
              <w:spacing w:after="0" w:before="0"/>
              <w:jc w:val="center"/>
            </w:pPr>
            <w:r/>
            <w:r>
              <w:rPr>
                <w:rFonts w:ascii="Times New Roman" w:hAnsi="Times New Roman"/>
                <w:b/>
                <w:color w:val="000000"/>
                <w:sz w:val="18"/>
              </w:rPr>
              <w:t>Interpretation</w:t>
            </w:r>
          </w:p>
        </w:tc>
      </w:tr>
      <w:tr>
        <w:tc>
          <w:tcPr>
            <w:tcW w:type="dxa" w:w="2232"/>
            <w:vAlign w:val="center"/>
          </w:tcPr>
          <w:p>
            <w:pPr>
              <w:spacing w:after="0" w:before="0"/>
              <w:jc w:val="left"/>
            </w:pPr>
            <w:r/>
            <w:r>
              <w:rPr>
                <w:rFonts w:ascii="Times New Roman" w:hAnsi="Times New Roman"/>
                <w:b w:val="0"/>
                <w:color w:val="000000"/>
                <w:sz w:val="18"/>
              </w:rPr>
              <w:t>Shape</w:t>
            </w:r>
          </w:p>
        </w:tc>
        <w:tc>
          <w:tcPr>
            <w:tcW w:type="dxa" w:w="2232"/>
            <w:vAlign w:val="center"/>
          </w:tcPr>
          <w:p>
            <w:pPr>
              <w:spacing w:after="0" w:before="0"/>
              <w:jc w:val="left"/>
            </w:pPr>
            <w:r/>
            <w:r>
              <w:rPr>
                <w:rFonts w:ascii="Times New Roman" w:hAnsi="Times New Roman"/>
                <w:b w:val="0"/>
                <w:color w:val="000000"/>
                <w:sz w:val="18"/>
              </w:rPr>
              <w:t>(1000, 7)</w:t>
            </w:r>
          </w:p>
        </w:tc>
        <w:tc>
          <w:tcPr>
            <w:tcW w:type="dxa" w:w="4680"/>
            <w:vAlign w:val="center"/>
          </w:tcPr>
          <w:p>
            <w:pPr>
              <w:spacing w:after="0" w:before="0"/>
              <w:jc w:val="left"/>
            </w:pPr>
            <w:r/>
            <w:r>
              <w:rPr>
                <w:rFonts w:ascii="Times New Roman" w:hAnsi="Times New Roman"/>
                <w:b w:val="0"/>
                <w:color w:val="000000"/>
                <w:sz w:val="18"/>
              </w:rPr>
              <w:t>1,000 records and 7 columns</w:t>
            </w:r>
          </w:p>
        </w:tc>
      </w:tr>
      <w:tr>
        <w:tc>
          <w:tcPr>
            <w:tcW w:type="dxa" w:w="2232"/>
            <w:vAlign w:val="center"/>
          </w:tcPr>
          <w:p>
            <w:pPr>
              <w:spacing w:after="0" w:before="0"/>
              <w:jc w:val="left"/>
            </w:pPr>
            <w:r/>
            <w:r>
              <w:rPr>
                <w:rFonts w:ascii="Times New Roman" w:hAnsi="Times New Roman"/>
                <w:b w:val="0"/>
                <w:color w:val="000000"/>
                <w:sz w:val="18"/>
              </w:rPr>
              <w:t>Missing values</w:t>
            </w:r>
          </w:p>
        </w:tc>
        <w:tc>
          <w:tcPr>
            <w:tcW w:type="dxa" w:w="2232"/>
            <w:vAlign w:val="center"/>
          </w:tcPr>
          <w:p>
            <w:pPr>
              <w:spacing w:after="0" w:before="0"/>
              <w:jc w:val="left"/>
            </w:pPr>
            <w:r/>
            <w:r>
              <w:rPr>
                <w:rFonts w:ascii="Times New Roman" w:hAnsi="Times New Roman"/>
                <w:b w:val="0"/>
                <w:color w:val="000000"/>
                <w:sz w:val="18"/>
              </w:rPr>
              <w:t>0</w:t>
            </w:r>
          </w:p>
        </w:tc>
        <w:tc>
          <w:tcPr>
            <w:tcW w:type="dxa" w:w="4680"/>
            <w:vAlign w:val="center"/>
          </w:tcPr>
          <w:p>
            <w:pPr>
              <w:spacing w:after="0" w:before="0"/>
              <w:jc w:val="left"/>
            </w:pPr>
            <w:r/>
            <w:r>
              <w:rPr>
                <w:rFonts w:ascii="Times New Roman" w:hAnsi="Times New Roman"/>
                <w:b w:val="0"/>
                <w:color w:val="000000"/>
                <w:sz w:val="18"/>
              </w:rPr>
              <w:t>No missing cells detected</w:t>
            </w:r>
          </w:p>
        </w:tc>
      </w:tr>
      <w:tr>
        <w:tc>
          <w:tcPr>
            <w:tcW w:type="dxa" w:w="2232"/>
            <w:vAlign w:val="center"/>
          </w:tcPr>
          <w:p>
            <w:pPr>
              <w:spacing w:after="0" w:before="0"/>
              <w:jc w:val="left"/>
            </w:pPr>
            <w:r/>
            <w:r>
              <w:rPr>
                <w:rFonts w:ascii="Times New Roman" w:hAnsi="Times New Roman"/>
                <w:b w:val="0"/>
                <w:color w:val="000000"/>
                <w:sz w:val="18"/>
              </w:rPr>
              <w:t>Duplicate rows</w:t>
            </w:r>
          </w:p>
        </w:tc>
        <w:tc>
          <w:tcPr>
            <w:tcW w:type="dxa" w:w="2232"/>
            <w:vAlign w:val="center"/>
          </w:tcPr>
          <w:p>
            <w:pPr>
              <w:spacing w:after="0" w:before="0"/>
              <w:jc w:val="left"/>
            </w:pPr>
            <w:r/>
            <w:r>
              <w:rPr>
                <w:rFonts w:ascii="Times New Roman" w:hAnsi="Times New Roman"/>
                <w:b w:val="0"/>
                <w:color w:val="000000"/>
                <w:sz w:val="18"/>
              </w:rPr>
              <w:t>0</w:t>
            </w:r>
          </w:p>
        </w:tc>
        <w:tc>
          <w:tcPr>
            <w:tcW w:type="dxa" w:w="4680"/>
            <w:vAlign w:val="center"/>
          </w:tcPr>
          <w:p>
            <w:pPr>
              <w:spacing w:after="0" w:before="0"/>
              <w:jc w:val="left"/>
            </w:pPr>
            <w:r/>
            <w:r>
              <w:rPr>
                <w:rFonts w:ascii="Times New Roman" w:hAnsi="Times New Roman"/>
                <w:b w:val="0"/>
                <w:color w:val="000000"/>
                <w:sz w:val="18"/>
              </w:rPr>
              <w:t>No exact duplicate records detected</w:t>
            </w:r>
          </w:p>
        </w:tc>
      </w:tr>
      <w:tr>
        <w:tc>
          <w:tcPr>
            <w:tcW w:type="dxa" w:w="2232"/>
            <w:vAlign w:val="center"/>
          </w:tcPr>
          <w:p>
            <w:pPr>
              <w:spacing w:after="0" w:before="0"/>
              <w:jc w:val="left"/>
            </w:pPr>
            <w:r/>
            <w:r>
              <w:rPr>
                <w:rFonts w:ascii="Times New Roman" w:hAnsi="Times New Roman"/>
                <w:b w:val="0"/>
                <w:color w:val="000000"/>
                <w:sz w:val="18"/>
              </w:rPr>
              <w:t>Target classes</w:t>
            </w:r>
          </w:p>
        </w:tc>
        <w:tc>
          <w:tcPr>
            <w:tcW w:type="dxa" w:w="2232"/>
            <w:vAlign w:val="center"/>
          </w:tcPr>
          <w:p>
            <w:pPr>
              <w:spacing w:after="0" w:before="0"/>
              <w:jc w:val="left"/>
            </w:pPr>
            <w:r/>
            <w:r>
              <w:rPr>
                <w:rFonts w:ascii="Times New Roman" w:hAnsi="Times New Roman"/>
                <w:b w:val="0"/>
                <w:color w:val="000000"/>
                <w:sz w:val="18"/>
              </w:rPr>
              <w:t>No: 500; Yes: 500</w:t>
            </w:r>
          </w:p>
        </w:tc>
        <w:tc>
          <w:tcPr>
            <w:tcW w:type="dxa" w:w="4680"/>
            <w:vAlign w:val="center"/>
          </w:tcPr>
          <w:p>
            <w:pPr>
              <w:spacing w:after="0" w:before="0"/>
              <w:jc w:val="left"/>
            </w:pPr>
            <w:r/>
            <w:r>
              <w:rPr>
                <w:rFonts w:ascii="Times New Roman" w:hAnsi="Times New Roman"/>
                <w:b w:val="0"/>
                <w:color w:val="000000"/>
                <w:sz w:val="18"/>
              </w:rPr>
              <w:t>Balanced class counts</w:t>
            </w:r>
          </w:p>
        </w:tc>
      </w:tr>
      <w:tr>
        <w:tc>
          <w:tcPr>
            <w:tcW w:type="dxa" w:w="2232"/>
            <w:vAlign w:val="center"/>
          </w:tcPr>
          <w:p>
            <w:pPr>
              <w:spacing w:after="0" w:before="0"/>
              <w:jc w:val="left"/>
            </w:pPr>
            <w:r/>
            <w:r>
              <w:rPr>
                <w:rFonts w:ascii="Times New Roman" w:hAnsi="Times New Roman"/>
                <w:b w:val="0"/>
                <w:color w:val="000000"/>
                <w:sz w:val="18"/>
              </w:rPr>
              <w:t>Training / testing</w:t>
            </w:r>
          </w:p>
        </w:tc>
        <w:tc>
          <w:tcPr>
            <w:tcW w:type="dxa" w:w="2232"/>
            <w:vAlign w:val="center"/>
          </w:tcPr>
          <w:p>
            <w:pPr>
              <w:spacing w:after="0" w:before="0"/>
              <w:jc w:val="left"/>
            </w:pPr>
            <w:r/>
            <w:r>
              <w:rPr>
                <w:rFonts w:ascii="Times New Roman" w:hAnsi="Times New Roman"/>
                <w:b w:val="0"/>
                <w:color w:val="000000"/>
                <w:sz w:val="18"/>
              </w:rPr>
              <w:t>800 / 200</w:t>
            </w:r>
          </w:p>
        </w:tc>
        <w:tc>
          <w:tcPr>
            <w:tcW w:type="dxa" w:w="4680"/>
            <w:vAlign w:val="center"/>
          </w:tcPr>
          <w:p>
            <w:pPr>
              <w:spacing w:after="0" w:before="0"/>
              <w:jc w:val="left"/>
            </w:pPr>
            <w:r/>
            <w:r>
              <w:rPr>
                <w:rFonts w:ascii="Times New Roman" w:hAnsi="Times New Roman"/>
                <w:b w:val="0"/>
                <w:color w:val="000000"/>
                <w:sz w:val="18"/>
              </w:rPr>
              <w:t>80% train and 20% test; stratified split</w:t>
            </w:r>
          </w:p>
        </w:tc>
      </w:tr>
    </w:tbl>
    <w:p>
      <w:pPr>
        <w:spacing w:after="20"/>
      </w:pPr>
    </w:p>
    <w:p>
      <w:pPr>
        <w:keepNext/>
        <w:spacing w:before="120" w:after="60"/>
      </w:pPr>
      <w:r>
        <w:rPr>
          <w:rFonts w:ascii="Times New Roman" w:hAnsi="Times New Roman"/>
          <w:b/>
          <w:color w:val="000000"/>
          <w:sz w:val="24"/>
        </w:rPr>
        <w:t>3.3 Descriptive Statistics</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60"/>
        <w:gridCol w:w="1560"/>
        <w:gridCol w:w="1560"/>
        <w:gridCol w:w="1560"/>
        <w:gridCol w:w="1560"/>
        <w:gridCol w:w="1560"/>
      </w:tblGrid>
      <w:tr>
        <w:tc>
          <w:tcPr>
            <w:tcW w:type="dxa" w:w="3024"/>
            <w:vAlign w:val="center"/>
            <w:shd w:fill="D9EAF7"/>
          </w:tcPr>
          <w:p>
            <w:pPr>
              <w:spacing w:after="0" w:before="0"/>
              <w:jc w:val="center"/>
            </w:pPr>
            <w:r/>
            <w:r>
              <w:rPr>
                <w:rFonts w:ascii="Times New Roman" w:hAnsi="Times New Roman"/>
                <w:b/>
                <w:color w:val="000000"/>
                <w:sz w:val="16"/>
              </w:rPr>
              <w:t>Feature</w:t>
            </w:r>
          </w:p>
        </w:tc>
        <w:tc>
          <w:tcPr>
            <w:tcW w:type="dxa" w:w="1152"/>
            <w:vAlign w:val="center"/>
            <w:shd w:fill="D9EAF7"/>
          </w:tcPr>
          <w:p>
            <w:pPr>
              <w:spacing w:after="0" w:before="0"/>
              <w:jc w:val="center"/>
            </w:pPr>
            <w:r/>
            <w:r>
              <w:rPr>
                <w:rFonts w:ascii="Times New Roman" w:hAnsi="Times New Roman"/>
                <w:b/>
                <w:color w:val="000000"/>
                <w:sz w:val="16"/>
              </w:rPr>
              <w:t>Mean</w:t>
            </w:r>
          </w:p>
        </w:tc>
        <w:tc>
          <w:tcPr>
            <w:tcW w:type="dxa" w:w="1296"/>
            <w:vAlign w:val="center"/>
            <w:shd w:fill="D9EAF7"/>
          </w:tcPr>
          <w:p>
            <w:pPr>
              <w:spacing w:after="0" w:before="0"/>
              <w:jc w:val="center"/>
            </w:pPr>
            <w:r/>
            <w:r>
              <w:rPr>
                <w:rFonts w:ascii="Times New Roman" w:hAnsi="Times New Roman"/>
                <w:b/>
                <w:color w:val="000000"/>
                <w:sz w:val="16"/>
              </w:rPr>
              <w:t>Std. dev.</w:t>
            </w:r>
          </w:p>
        </w:tc>
        <w:tc>
          <w:tcPr>
            <w:tcW w:type="dxa" w:w="1008"/>
            <w:vAlign w:val="center"/>
            <w:shd w:fill="D9EAF7"/>
          </w:tcPr>
          <w:p>
            <w:pPr>
              <w:spacing w:after="0" w:before="0"/>
              <w:jc w:val="center"/>
            </w:pPr>
            <w:r/>
            <w:r>
              <w:rPr>
                <w:rFonts w:ascii="Times New Roman" w:hAnsi="Times New Roman"/>
                <w:b/>
                <w:color w:val="000000"/>
                <w:sz w:val="16"/>
              </w:rPr>
              <w:t>Min</w:t>
            </w:r>
          </w:p>
        </w:tc>
        <w:tc>
          <w:tcPr>
            <w:tcW w:type="dxa" w:w="1152"/>
            <w:vAlign w:val="center"/>
            <w:shd w:fill="D9EAF7"/>
          </w:tcPr>
          <w:p>
            <w:pPr>
              <w:spacing w:after="0" w:before="0"/>
              <w:jc w:val="center"/>
            </w:pPr>
            <w:r/>
            <w:r>
              <w:rPr>
                <w:rFonts w:ascii="Times New Roman" w:hAnsi="Times New Roman"/>
                <w:b/>
                <w:color w:val="000000"/>
                <w:sz w:val="16"/>
              </w:rPr>
              <w:t>Median</w:t>
            </w:r>
          </w:p>
        </w:tc>
        <w:tc>
          <w:tcPr>
            <w:tcW w:type="dxa" w:w="1008"/>
            <w:vAlign w:val="center"/>
            <w:shd w:fill="D9EAF7"/>
          </w:tcPr>
          <w:p>
            <w:pPr>
              <w:spacing w:after="0" w:before="0"/>
              <w:jc w:val="center"/>
            </w:pPr>
            <w:r/>
            <w:r>
              <w:rPr>
                <w:rFonts w:ascii="Times New Roman" w:hAnsi="Times New Roman"/>
                <w:b/>
                <w:color w:val="000000"/>
                <w:sz w:val="16"/>
              </w:rPr>
              <w:t>Max</w:t>
            </w:r>
          </w:p>
        </w:tc>
      </w:tr>
      <w:tr>
        <w:tc>
          <w:tcPr>
            <w:tcW w:type="dxa" w:w="3024"/>
            <w:vAlign w:val="center"/>
          </w:tcPr>
          <w:p>
            <w:pPr>
              <w:spacing w:after="0" w:before="0"/>
              <w:jc w:val="left"/>
            </w:pPr>
            <w:r/>
            <w:r>
              <w:rPr>
                <w:rFonts w:ascii="Times New Roman" w:hAnsi="Times New Roman"/>
                <w:b w:val="0"/>
                <w:color w:val="000000"/>
                <w:sz w:val="16"/>
              </w:rPr>
              <w:t>Attendance Percentage</w:t>
            </w:r>
          </w:p>
        </w:tc>
        <w:tc>
          <w:tcPr>
            <w:tcW w:type="dxa" w:w="1152"/>
            <w:vAlign w:val="center"/>
          </w:tcPr>
          <w:p>
            <w:pPr>
              <w:spacing w:after="0" w:before="0"/>
              <w:jc w:val="left"/>
            </w:pPr>
            <w:r/>
            <w:r>
              <w:rPr>
                <w:rFonts w:ascii="Times New Roman" w:hAnsi="Times New Roman"/>
                <w:b w:val="0"/>
                <w:color w:val="000000"/>
                <w:sz w:val="16"/>
              </w:rPr>
              <w:t>74.60</w:t>
            </w:r>
          </w:p>
        </w:tc>
        <w:tc>
          <w:tcPr>
            <w:tcW w:type="dxa" w:w="1296"/>
            <w:vAlign w:val="center"/>
          </w:tcPr>
          <w:p>
            <w:pPr>
              <w:spacing w:after="0" w:before="0"/>
              <w:jc w:val="left"/>
            </w:pPr>
            <w:r/>
            <w:r>
              <w:rPr>
                <w:rFonts w:ascii="Times New Roman" w:hAnsi="Times New Roman"/>
                <w:b w:val="0"/>
                <w:color w:val="000000"/>
                <w:sz w:val="16"/>
              </w:rPr>
              <w:t>11.68</w:t>
            </w:r>
          </w:p>
        </w:tc>
        <w:tc>
          <w:tcPr>
            <w:tcW w:type="dxa" w:w="1008"/>
            <w:vAlign w:val="center"/>
          </w:tcPr>
          <w:p>
            <w:pPr>
              <w:spacing w:after="0" w:before="0"/>
              <w:jc w:val="left"/>
            </w:pPr>
            <w:r/>
            <w:r>
              <w:rPr>
                <w:rFonts w:ascii="Times New Roman" w:hAnsi="Times New Roman"/>
                <w:b w:val="0"/>
                <w:color w:val="000000"/>
                <w:sz w:val="16"/>
              </w:rPr>
              <w:t>40.00</w:t>
            </w:r>
          </w:p>
        </w:tc>
        <w:tc>
          <w:tcPr>
            <w:tcW w:type="dxa" w:w="1152"/>
            <w:vAlign w:val="center"/>
          </w:tcPr>
          <w:p>
            <w:pPr>
              <w:spacing w:after="0" w:before="0"/>
              <w:jc w:val="left"/>
            </w:pPr>
            <w:r/>
            <w:r>
              <w:rPr>
                <w:rFonts w:ascii="Times New Roman" w:hAnsi="Times New Roman"/>
                <w:b w:val="0"/>
                <w:color w:val="000000"/>
                <w:sz w:val="16"/>
              </w:rPr>
              <w:t>75.10</w:t>
            </w:r>
          </w:p>
        </w:tc>
        <w:tc>
          <w:tcPr>
            <w:tcW w:type="dxa" w:w="1008"/>
            <w:vAlign w:val="center"/>
          </w:tcPr>
          <w:p>
            <w:pPr>
              <w:spacing w:after="0" w:before="0"/>
              <w:jc w:val="left"/>
            </w:pPr>
            <w:r/>
            <w:r>
              <w:rPr>
                <w:rFonts w:ascii="Times New Roman" w:hAnsi="Times New Roman"/>
                <w:b w:val="0"/>
                <w:color w:val="000000"/>
                <w:sz w:val="16"/>
              </w:rPr>
              <w:t>100.00</w:t>
            </w:r>
          </w:p>
        </w:tc>
      </w:tr>
      <w:tr>
        <w:tc>
          <w:tcPr>
            <w:tcW w:type="dxa" w:w="3024"/>
            <w:vAlign w:val="center"/>
          </w:tcPr>
          <w:p>
            <w:pPr>
              <w:spacing w:after="0" w:before="0"/>
              <w:jc w:val="left"/>
            </w:pPr>
            <w:r/>
            <w:r>
              <w:rPr>
                <w:rFonts w:ascii="Times New Roman" w:hAnsi="Times New Roman"/>
                <w:b w:val="0"/>
                <w:color w:val="000000"/>
                <w:sz w:val="16"/>
              </w:rPr>
              <w:t>Previous Grades</w:t>
            </w:r>
          </w:p>
        </w:tc>
        <w:tc>
          <w:tcPr>
            <w:tcW w:type="dxa" w:w="1152"/>
            <w:vAlign w:val="center"/>
          </w:tcPr>
          <w:p>
            <w:pPr>
              <w:spacing w:after="0" w:before="0"/>
              <w:jc w:val="left"/>
            </w:pPr>
            <w:r/>
            <w:r>
              <w:rPr>
                <w:rFonts w:ascii="Times New Roman" w:hAnsi="Times New Roman"/>
                <w:b w:val="0"/>
                <w:color w:val="000000"/>
                <w:sz w:val="16"/>
              </w:rPr>
              <w:t>63.81</w:t>
            </w:r>
          </w:p>
        </w:tc>
        <w:tc>
          <w:tcPr>
            <w:tcW w:type="dxa" w:w="1296"/>
            <w:vAlign w:val="center"/>
          </w:tcPr>
          <w:p>
            <w:pPr>
              <w:spacing w:after="0" w:before="0"/>
              <w:jc w:val="left"/>
            </w:pPr>
            <w:r/>
            <w:r>
              <w:rPr>
                <w:rFonts w:ascii="Times New Roman" w:hAnsi="Times New Roman"/>
                <w:b w:val="0"/>
                <w:color w:val="000000"/>
                <w:sz w:val="16"/>
              </w:rPr>
              <w:t>14.98</w:t>
            </w:r>
          </w:p>
        </w:tc>
        <w:tc>
          <w:tcPr>
            <w:tcW w:type="dxa" w:w="1008"/>
            <w:vAlign w:val="center"/>
          </w:tcPr>
          <w:p>
            <w:pPr>
              <w:spacing w:after="0" w:before="0"/>
              <w:jc w:val="left"/>
            </w:pPr>
            <w:r/>
            <w:r>
              <w:rPr>
                <w:rFonts w:ascii="Times New Roman" w:hAnsi="Times New Roman"/>
                <w:b w:val="0"/>
                <w:color w:val="000000"/>
                <w:sz w:val="16"/>
              </w:rPr>
              <w:t>30.00</w:t>
            </w:r>
          </w:p>
        </w:tc>
        <w:tc>
          <w:tcPr>
            <w:tcW w:type="dxa" w:w="1152"/>
            <w:vAlign w:val="center"/>
          </w:tcPr>
          <w:p>
            <w:pPr>
              <w:spacing w:after="0" w:before="0"/>
              <w:jc w:val="left"/>
            </w:pPr>
            <w:r/>
            <w:r>
              <w:rPr>
                <w:rFonts w:ascii="Times New Roman" w:hAnsi="Times New Roman"/>
                <w:b w:val="0"/>
                <w:color w:val="000000"/>
                <w:sz w:val="16"/>
              </w:rPr>
              <w:t>64.35</w:t>
            </w:r>
          </w:p>
        </w:tc>
        <w:tc>
          <w:tcPr>
            <w:tcW w:type="dxa" w:w="1008"/>
            <w:vAlign w:val="center"/>
          </w:tcPr>
          <w:p>
            <w:pPr>
              <w:spacing w:after="0" w:before="0"/>
              <w:jc w:val="left"/>
            </w:pPr>
            <w:r/>
            <w:r>
              <w:rPr>
                <w:rFonts w:ascii="Times New Roman" w:hAnsi="Times New Roman"/>
                <w:b w:val="0"/>
                <w:color w:val="000000"/>
                <w:sz w:val="16"/>
              </w:rPr>
              <w:t>100.00</w:t>
            </w:r>
          </w:p>
        </w:tc>
      </w:tr>
      <w:tr>
        <w:tc>
          <w:tcPr>
            <w:tcW w:type="dxa" w:w="3024"/>
            <w:vAlign w:val="center"/>
          </w:tcPr>
          <w:p>
            <w:pPr>
              <w:spacing w:after="0" w:before="0"/>
              <w:jc w:val="left"/>
            </w:pPr>
            <w:r/>
            <w:r>
              <w:rPr>
                <w:rFonts w:ascii="Times New Roman" w:hAnsi="Times New Roman"/>
                <w:b w:val="0"/>
                <w:color w:val="000000"/>
                <w:sz w:val="16"/>
              </w:rPr>
              <w:t>Assignment Performance</w:t>
            </w:r>
          </w:p>
        </w:tc>
        <w:tc>
          <w:tcPr>
            <w:tcW w:type="dxa" w:w="1152"/>
            <w:vAlign w:val="center"/>
          </w:tcPr>
          <w:p>
            <w:pPr>
              <w:spacing w:after="0" w:before="0"/>
              <w:jc w:val="left"/>
            </w:pPr>
            <w:r/>
            <w:r>
              <w:rPr>
                <w:rFonts w:ascii="Times New Roman" w:hAnsi="Times New Roman"/>
                <w:b w:val="0"/>
                <w:color w:val="000000"/>
                <w:sz w:val="16"/>
              </w:rPr>
              <w:t>68.41</w:t>
            </w:r>
          </w:p>
        </w:tc>
        <w:tc>
          <w:tcPr>
            <w:tcW w:type="dxa" w:w="1296"/>
            <w:vAlign w:val="center"/>
          </w:tcPr>
          <w:p>
            <w:pPr>
              <w:spacing w:after="0" w:before="0"/>
              <w:jc w:val="left"/>
            </w:pPr>
            <w:r/>
            <w:r>
              <w:rPr>
                <w:rFonts w:ascii="Times New Roman" w:hAnsi="Times New Roman"/>
                <w:b w:val="0"/>
                <w:color w:val="000000"/>
                <w:sz w:val="16"/>
              </w:rPr>
              <w:t>14.92</w:t>
            </w:r>
          </w:p>
        </w:tc>
        <w:tc>
          <w:tcPr>
            <w:tcW w:type="dxa" w:w="1008"/>
            <w:vAlign w:val="center"/>
          </w:tcPr>
          <w:p>
            <w:pPr>
              <w:spacing w:after="0" w:before="0"/>
              <w:jc w:val="left"/>
            </w:pPr>
            <w:r/>
            <w:r>
              <w:rPr>
                <w:rFonts w:ascii="Times New Roman" w:hAnsi="Times New Roman"/>
                <w:b w:val="0"/>
                <w:color w:val="000000"/>
                <w:sz w:val="16"/>
              </w:rPr>
              <w:t>30.00</w:t>
            </w:r>
          </w:p>
        </w:tc>
        <w:tc>
          <w:tcPr>
            <w:tcW w:type="dxa" w:w="1152"/>
            <w:vAlign w:val="center"/>
          </w:tcPr>
          <w:p>
            <w:pPr>
              <w:spacing w:after="0" w:before="0"/>
              <w:jc w:val="left"/>
            </w:pPr>
            <w:r/>
            <w:r>
              <w:rPr>
                <w:rFonts w:ascii="Times New Roman" w:hAnsi="Times New Roman"/>
                <w:b w:val="0"/>
                <w:color w:val="000000"/>
                <w:sz w:val="16"/>
              </w:rPr>
              <w:t>68.55</w:t>
            </w:r>
          </w:p>
        </w:tc>
        <w:tc>
          <w:tcPr>
            <w:tcW w:type="dxa" w:w="1008"/>
            <w:vAlign w:val="center"/>
          </w:tcPr>
          <w:p>
            <w:pPr>
              <w:spacing w:after="0" w:before="0"/>
              <w:jc w:val="left"/>
            </w:pPr>
            <w:r/>
            <w:r>
              <w:rPr>
                <w:rFonts w:ascii="Times New Roman" w:hAnsi="Times New Roman"/>
                <w:b w:val="0"/>
                <w:color w:val="000000"/>
                <w:sz w:val="16"/>
              </w:rPr>
              <w:t>100.00</w:t>
            </w:r>
          </w:p>
        </w:tc>
      </w:tr>
      <w:tr>
        <w:tc>
          <w:tcPr>
            <w:tcW w:type="dxa" w:w="3024"/>
            <w:vAlign w:val="center"/>
          </w:tcPr>
          <w:p>
            <w:pPr>
              <w:spacing w:after="0" w:before="0"/>
              <w:jc w:val="left"/>
            </w:pPr>
            <w:r/>
            <w:r>
              <w:rPr>
                <w:rFonts w:ascii="Times New Roman" w:hAnsi="Times New Roman"/>
                <w:b w:val="0"/>
                <w:color w:val="000000"/>
                <w:sz w:val="16"/>
              </w:rPr>
              <w:t>Internal Marks</w:t>
            </w:r>
          </w:p>
        </w:tc>
        <w:tc>
          <w:tcPr>
            <w:tcW w:type="dxa" w:w="1152"/>
            <w:vAlign w:val="center"/>
          </w:tcPr>
          <w:p>
            <w:pPr>
              <w:spacing w:after="0" w:before="0"/>
              <w:jc w:val="left"/>
            </w:pPr>
            <w:r/>
            <w:r>
              <w:rPr>
                <w:rFonts w:ascii="Times New Roman" w:hAnsi="Times New Roman"/>
                <w:b w:val="0"/>
                <w:color w:val="000000"/>
                <w:sz w:val="16"/>
              </w:rPr>
              <w:t>65.93</w:t>
            </w:r>
          </w:p>
        </w:tc>
        <w:tc>
          <w:tcPr>
            <w:tcW w:type="dxa" w:w="1296"/>
            <w:vAlign w:val="center"/>
          </w:tcPr>
          <w:p>
            <w:pPr>
              <w:spacing w:after="0" w:before="0"/>
              <w:jc w:val="left"/>
            </w:pPr>
            <w:r/>
            <w:r>
              <w:rPr>
                <w:rFonts w:ascii="Times New Roman" w:hAnsi="Times New Roman"/>
                <w:b w:val="0"/>
                <w:color w:val="000000"/>
                <w:sz w:val="16"/>
              </w:rPr>
              <w:t>13.54</w:t>
            </w:r>
          </w:p>
        </w:tc>
        <w:tc>
          <w:tcPr>
            <w:tcW w:type="dxa" w:w="1008"/>
            <w:vAlign w:val="center"/>
          </w:tcPr>
          <w:p>
            <w:pPr>
              <w:spacing w:after="0" w:before="0"/>
              <w:jc w:val="left"/>
            </w:pPr>
            <w:r/>
            <w:r>
              <w:rPr>
                <w:rFonts w:ascii="Times New Roman" w:hAnsi="Times New Roman"/>
                <w:b w:val="0"/>
                <w:color w:val="000000"/>
                <w:sz w:val="16"/>
              </w:rPr>
              <w:t>27.50</w:t>
            </w:r>
          </w:p>
        </w:tc>
        <w:tc>
          <w:tcPr>
            <w:tcW w:type="dxa" w:w="1152"/>
            <w:vAlign w:val="center"/>
          </w:tcPr>
          <w:p>
            <w:pPr>
              <w:spacing w:after="0" w:before="0"/>
              <w:jc w:val="left"/>
            </w:pPr>
            <w:r/>
            <w:r>
              <w:rPr>
                <w:rFonts w:ascii="Times New Roman" w:hAnsi="Times New Roman"/>
                <w:b w:val="0"/>
                <w:color w:val="000000"/>
                <w:sz w:val="16"/>
              </w:rPr>
              <w:t>65.90</w:t>
            </w:r>
          </w:p>
        </w:tc>
        <w:tc>
          <w:tcPr>
            <w:tcW w:type="dxa" w:w="1008"/>
            <w:vAlign w:val="center"/>
          </w:tcPr>
          <w:p>
            <w:pPr>
              <w:spacing w:after="0" w:before="0"/>
              <w:jc w:val="left"/>
            </w:pPr>
            <w:r/>
            <w:r>
              <w:rPr>
                <w:rFonts w:ascii="Times New Roman" w:hAnsi="Times New Roman"/>
                <w:b w:val="0"/>
                <w:color w:val="000000"/>
                <w:sz w:val="16"/>
              </w:rPr>
              <w:t>100.00</w:t>
            </w:r>
          </w:p>
        </w:tc>
      </w:tr>
      <w:tr>
        <w:tc>
          <w:tcPr>
            <w:tcW w:type="dxa" w:w="3024"/>
            <w:vAlign w:val="center"/>
          </w:tcPr>
          <w:p>
            <w:pPr>
              <w:spacing w:after="0" w:before="0"/>
              <w:jc w:val="left"/>
            </w:pPr>
            <w:r/>
            <w:r>
              <w:rPr>
                <w:rFonts w:ascii="Times New Roman" w:hAnsi="Times New Roman"/>
                <w:b w:val="0"/>
                <w:color w:val="000000"/>
                <w:sz w:val="16"/>
              </w:rPr>
              <w:t>Participation Score</w:t>
            </w:r>
          </w:p>
        </w:tc>
        <w:tc>
          <w:tcPr>
            <w:tcW w:type="dxa" w:w="1152"/>
            <w:vAlign w:val="center"/>
          </w:tcPr>
          <w:p>
            <w:pPr>
              <w:spacing w:after="0" w:before="0"/>
              <w:jc w:val="left"/>
            </w:pPr>
            <w:r/>
            <w:r>
              <w:rPr>
                <w:rFonts w:ascii="Times New Roman" w:hAnsi="Times New Roman"/>
                <w:b w:val="0"/>
                <w:color w:val="000000"/>
                <w:sz w:val="16"/>
              </w:rPr>
              <w:t>5.95</w:t>
            </w:r>
          </w:p>
        </w:tc>
        <w:tc>
          <w:tcPr>
            <w:tcW w:type="dxa" w:w="1296"/>
            <w:vAlign w:val="center"/>
          </w:tcPr>
          <w:p>
            <w:pPr>
              <w:spacing w:after="0" w:before="0"/>
              <w:jc w:val="left"/>
            </w:pPr>
            <w:r/>
            <w:r>
              <w:rPr>
                <w:rFonts w:ascii="Times New Roman" w:hAnsi="Times New Roman"/>
                <w:b w:val="0"/>
                <w:color w:val="000000"/>
                <w:sz w:val="16"/>
              </w:rPr>
              <w:t>1.94</w:t>
            </w:r>
          </w:p>
        </w:tc>
        <w:tc>
          <w:tcPr>
            <w:tcW w:type="dxa" w:w="1008"/>
            <w:vAlign w:val="center"/>
          </w:tcPr>
          <w:p>
            <w:pPr>
              <w:spacing w:after="0" w:before="0"/>
              <w:jc w:val="left"/>
            </w:pPr>
            <w:r/>
            <w:r>
              <w:rPr>
                <w:rFonts w:ascii="Times New Roman" w:hAnsi="Times New Roman"/>
                <w:b w:val="0"/>
                <w:color w:val="000000"/>
                <w:sz w:val="16"/>
              </w:rPr>
              <w:t>1.00</w:t>
            </w:r>
          </w:p>
        </w:tc>
        <w:tc>
          <w:tcPr>
            <w:tcW w:type="dxa" w:w="1152"/>
            <w:vAlign w:val="center"/>
          </w:tcPr>
          <w:p>
            <w:pPr>
              <w:spacing w:after="0" w:before="0"/>
              <w:jc w:val="left"/>
            </w:pPr>
            <w:r/>
            <w:r>
              <w:rPr>
                <w:rFonts w:ascii="Times New Roman" w:hAnsi="Times New Roman"/>
                <w:b w:val="0"/>
                <w:color w:val="000000"/>
                <w:sz w:val="16"/>
              </w:rPr>
              <w:t>6.00</w:t>
            </w:r>
          </w:p>
        </w:tc>
        <w:tc>
          <w:tcPr>
            <w:tcW w:type="dxa" w:w="1008"/>
            <w:vAlign w:val="center"/>
          </w:tcPr>
          <w:p>
            <w:pPr>
              <w:spacing w:after="0" w:before="0"/>
              <w:jc w:val="left"/>
            </w:pPr>
            <w:r/>
            <w:r>
              <w:rPr>
                <w:rFonts w:ascii="Times New Roman" w:hAnsi="Times New Roman"/>
                <w:b w:val="0"/>
                <w:color w:val="000000"/>
                <w:sz w:val="16"/>
              </w:rPr>
              <w:t>10.00</w:t>
            </w:r>
          </w:p>
        </w:tc>
      </w:tr>
      <w:tr>
        <w:tc>
          <w:tcPr>
            <w:tcW w:type="dxa" w:w="3024"/>
            <w:vAlign w:val="center"/>
          </w:tcPr>
          <w:p>
            <w:pPr>
              <w:spacing w:after="0" w:before="0"/>
              <w:jc w:val="left"/>
            </w:pPr>
            <w:r/>
            <w:r>
              <w:rPr>
                <w:rFonts w:ascii="Times New Roman" w:hAnsi="Times New Roman"/>
                <w:b w:val="0"/>
                <w:color w:val="000000"/>
                <w:sz w:val="16"/>
              </w:rPr>
              <w:t>Backlog Subjects</w:t>
            </w:r>
          </w:p>
        </w:tc>
        <w:tc>
          <w:tcPr>
            <w:tcW w:type="dxa" w:w="1152"/>
            <w:vAlign w:val="center"/>
          </w:tcPr>
          <w:p>
            <w:pPr>
              <w:spacing w:after="0" w:before="0"/>
              <w:jc w:val="left"/>
            </w:pPr>
            <w:r/>
            <w:r>
              <w:rPr>
                <w:rFonts w:ascii="Times New Roman" w:hAnsi="Times New Roman"/>
                <w:b w:val="0"/>
                <w:color w:val="000000"/>
                <w:sz w:val="16"/>
              </w:rPr>
              <w:t>1.18</w:t>
            </w:r>
          </w:p>
        </w:tc>
        <w:tc>
          <w:tcPr>
            <w:tcW w:type="dxa" w:w="1296"/>
            <w:vAlign w:val="center"/>
          </w:tcPr>
          <w:p>
            <w:pPr>
              <w:spacing w:after="0" w:before="0"/>
              <w:jc w:val="left"/>
            </w:pPr>
            <w:r/>
            <w:r>
              <w:rPr>
                <w:rFonts w:ascii="Times New Roman" w:hAnsi="Times New Roman"/>
                <w:b w:val="0"/>
                <w:color w:val="000000"/>
                <w:sz w:val="16"/>
              </w:rPr>
              <w:t>1.06</w:t>
            </w:r>
          </w:p>
        </w:tc>
        <w:tc>
          <w:tcPr>
            <w:tcW w:type="dxa" w:w="1008"/>
            <w:vAlign w:val="center"/>
          </w:tcPr>
          <w:p>
            <w:pPr>
              <w:spacing w:after="0" w:before="0"/>
              <w:jc w:val="left"/>
            </w:pPr>
            <w:r/>
            <w:r>
              <w:rPr>
                <w:rFonts w:ascii="Times New Roman" w:hAnsi="Times New Roman"/>
                <w:b w:val="0"/>
                <w:color w:val="000000"/>
                <w:sz w:val="16"/>
              </w:rPr>
              <w:t>0.00</w:t>
            </w:r>
          </w:p>
        </w:tc>
        <w:tc>
          <w:tcPr>
            <w:tcW w:type="dxa" w:w="1152"/>
            <w:vAlign w:val="center"/>
          </w:tcPr>
          <w:p>
            <w:pPr>
              <w:spacing w:after="0" w:before="0"/>
              <w:jc w:val="left"/>
            </w:pPr>
            <w:r/>
            <w:r>
              <w:rPr>
                <w:rFonts w:ascii="Times New Roman" w:hAnsi="Times New Roman"/>
                <w:b w:val="0"/>
                <w:color w:val="000000"/>
                <w:sz w:val="16"/>
              </w:rPr>
              <w:t>1.00</w:t>
            </w:r>
          </w:p>
        </w:tc>
        <w:tc>
          <w:tcPr>
            <w:tcW w:type="dxa" w:w="1008"/>
            <w:vAlign w:val="center"/>
          </w:tcPr>
          <w:p>
            <w:pPr>
              <w:spacing w:after="0" w:before="0"/>
              <w:jc w:val="left"/>
            </w:pPr>
            <w:r/>
            <w:r>
              <w:rPr>
                <w:rFonts w:ascii="Times New Roman" w:hAnsi="Times New Roman"/>
                <w:b w:val="0"/>
                <w:color w:val="000000"/>
                <w:sz w:val="16"/>
              </w:rPr>
              <w:t>5.00</w:t>
            </w:r>
          </w:p>
        </w:tc>
      </w:tr>
    </w:tbl>
    <w:p>
      <w:pPr>
        <w:spacing w:after="20"/>
      </w:pPr>
    </w:p>
    <w:p>
      <w:pPr>
        <w:spacing w:before="0" w:after="40" w:line="259" w:lineRule="auto"/>
        <w:jc w:val="both"/>
      </w:pPr>
      <w:r>
        <w:rPr>
          <w:rFonts w:ascii="Times New Roman" w:hAnsi="Times New Roman"/>
          <w:i w:val="0"/>
          <w:color w:val="000000"/>
          <w:sz w:val="20"/>
        </w:rPr>
        <w:t>Purpose of these checks: establish that the CSV is readable and complete, understand feature scales, and identify the target distribution before model training. These summary statistics describe the generated prototype dataset only.</w:t>
      </w:r>
    </w:p>
    <w:p>
      <w:pPr>
        <w:keepNext/>
        <w:spacing w:before="120" w:after="60"/>
      </w:pPr>
      <w:r>
        <w:rPr>
          <w:rFonts w:ascii="Times New Roman" w:hAnsi="Times New Roman"/>
          <w:b/>
          <w:color w:val="000000"/>
          <w:sz w:val="24"/>
        </w:rPr>
        <w:t>3.4 EDA Exploration - Implementation</w:t>
      </w:r>
    </w:p>
    <w:p>
      <w:pPr>
        <w:spacing w:before="0" w:after="100" w:line="259" w:lineRule="auto"/>
        <w:jc w:val="both"/>
      </w:pPr>
      <w:r>
        <w:rPr>
          <w:rFonts w:ascii="Times New Roman" w:hAnsi="Times New Roman"/>
          <w:i w:val="0"/>
          <w:color w:val="000000"/>
          <w:sz w:val="21"/>
        </w:rPr>
        <w:t>EDA was performed using Python, pandas, and Matplotlib. The following core checks were run before training; the full application also displays feature-level plots and the correlation matrix.</w:t>
      </w:r>
    </w:p>
    <w:p>
      <w:pPr>
        <w:spacing w:before="0" w:after="0" w:line="240" w:lineRule="auto"/>
        <w:ind w:left="173" w:right="173"/>
        <w:shd w:fill="F2F4F7"/>
      </w:pPr>
      <w:r>
        <w:rPr>
          <w:rFonts w:ascii="Consolas" w:hAnsi="Consolas"/>
          <w:color w:val="28303A"/>
          <w:sz w:val="16"/>
        </w:rPr>
        <w:t>df = pd.read_csv("Student_Academic_Risk_Dataset.csv")</w:t>
      </w:r>
    </w:p>
    <w:p>
      <w:pPr>
        <w:spacing w:before="0" w:after="0" w:line="240" w:lineRule="auto"/>
        <w:ind w:left="173" w:right="173"/>
        <w:shd w:fill="F2F4F7"/>
      </w:pPr>
      <w:r>
        <w:rPr>
          <w:rFonts w:ascii="Consolas" w:hAnsi="Consolas"/>
          <w:color w:val="28303A"/>
          <w:sz w:val="16"/>
        </w:rPr>
        <w:t>print(df.shape)</w:t>
      </w:r>
    </w:p>
    <w:p>
      <w:pPr>
        <w:spacing w:before="0" w:after="0" w:line="240" w:lineRule="auto"/>
        <w:ind w:left="173" w:right="173"/>
        <w:shd w:fill="F2F4F7"/>
      </w:pPr>
      <w:r>
        <w:rPr>
          <w:rFonts w:ascii="Consolas" w:hAnsi="Consolas"/>
          <w:color w:val="28303A"/>
          <w:sz w:val="16"/>
        </w:rPr>
        <w:t>print(df.isnull().sum())</w:t>
      </w:r>
    </w:p>
    <w:p>
      <w:pPr>
        <w:spacing w:before="0" w:after="0" w:line="240" w:lineRule="auto"/>
        <w:ind w:left="173" w:right="173"/>
        <w:shd w:fill="F2F4F7"/>
      </w:pPr>
      <w:r>
        <w:rPr>
          <w:rFonts w:ascii="Consolas" w:hAnsi="Consolas"/>
          <w:color w:val="28303A"/>
          <w:sz w:val="16"/>
        </w:rPr>
        <w:t>print(df.duplicated().sum())</w:t>
      </w:r>
    </w:p>
    <w:p>
      <w:pPr>
        <w:spacing w:before="0" w:after="0" w:line="240" w:lineRule="auto"/>
        <w:ind w:left="173" w:right="173"/>
        <w:shd w:fill="F2F4F7"/>
      </w:pPr>
      <w:r>
        <w:rPr>
          <w:rFonts w:ascii="Consolas" w:hAnsi="Consolas"/>
          <w:color w:val="28303A"/>
          <w:sz w:val="16"/>
        </w:rPr>
        <w:t>print(df["At_Risk"].value_counts())</w:t>
      </w:r>
    </w:p>
    <w:p>
      <w:pPr>
        <w:keepNext/>
        <w:pageBreakBefore/>
        <w:spacing w:before="0" w:after="140"/>
        <w:jc w:val="left"/>
      </w:pPr>
      <w:r>
        <w:rPr>
          <w:rFonts w:ascii="Times New Roman" w:hAnsi="Times New Roman"/>
          <w:b/>
          <w:color w:val="000000"/>
          <w:sz w:val="24"/>
        </w:rPr>
        <w:t>EDA Visual Findings</w:t>
      </w:r>
    </w:p>
    <w:p>
      <w:pPr>
        <w:keepNext/>
        <w:spacing w:before="120" w:after="60"/>
      </w:pPr>
      <w:r>
        <w:rPr>
          <w:rFonts w:ascii="Times New Roman" w:hAnsi="Times New Roman"/>
          <w:b/>
          <w:color w:val="000000"/>
          <w:sz w:val="24"/>
        </w:rPr>
        <w:t>Figure 1. Target Class Distribution</w:t>
      </w:r>
    </w:p>
    <w:p>
      <w:pPr>
        <w:keepNext/>
        <w:spacing w:before="40" w:after="0"/>
        <w:jc w:val="center"/>
      </w:pPr>
      <w:r>
        <w:drawing>
          <wp:inline xmlns:a="http://schemas.openxmlformats.org/drawingml/2006/main" xmlns:pic="http://schemas.openxmlformats.org/drawingml/2006/picture">
            <wp:extent cx="4297680" cy="2414770"/>
            <wp:docPr id="1706160795" name="Picture 1706160795"/>
            <wp:cNvGraphicFramePr>
              <a:graphicFrameLocks noChangeAspect="1"/>
            </wp:cNvGraphicFramePr>
            <a:graphic>
              <a:graphicData uri="http://schemas.openxmlformats.org/drawingml/2006/picture">
                <pic:pic>
                  <pic:nvPicPr>
                    <pic:cNvPr id="0" name="fig1_target_distribution.png"/>
                    <pic:cNvPicPr/>
                  </pic:nvPicPr>
                  <pic:blipFill>
                    <a:blip r:embed="rId10"/>
                    <a:stretch>
                      <a:fillRect/>
                    </a:stretch>
                  </pic:blipFill>
                  <pic:spPr>
                    <a:xfrm>
                      <a:off x="0" y="0"/>
                      <a:ext cx="4297680" cy="2414770"/>
                    </a:xfrm>
                    <a:prstGeom prst="rect"/>
                  </pic:spPr>
                </pic:pic>
              </a:graphicData>
            </a:graphic>
          </wp:inline>
        </w:drawing>
      </w:r>
    </w:p>
    <w:p>
      <w:pPr>
        <w:keepLines/>
        <w:spacing w:before="0" w:after="120"/>
        <w:jc w:val="center"/>
      </w:pPr>
      <w:r>
        <w:rPr>
          <w:rFonts w:ascii="Times New Roman" w:hAnsi="Times New Roman"/>
          <w:i/>
          <w:color w:val="374150"/>
          <w:sz w:val="18"/>
        </w:rPr>
        <w:t>Figure 1. Equal representation of the two target classes: 500 Not At Risk and 500 At Risk records.</w:t>
      </w:r>
    </w:p>
    <w:p>
      <w:pPr>
        <w:spacing w:before="0" w:after="40" w:line="259" w:lineRule="auto"/>
        <w:jc w:val="both"/>
      </w:pPr>
      <w:r>
        <w:rPr>
          <w:rFonts w:ascii="Times New Roman" w:hAnsi="Times New Roman"/>
          <w:i w:val="0"/>
          <w:color w:val="000000"/>
          <w:sz w:val="19"/>
        </w:rPr>
        <w:t>Interpretation: the two target classes have equal counts in this synthetic dataset. Balance does not guarantee strong predictive performance.</w:t>
      </w:r>
    </w:p>
    <w:p>
      <w:pPr>
        <w:keepNext/>
        <w:spacing w:before="120" w:after="60"/>
      </w:pPr>
      <w:r>
        <w:rPr>
          <w:rFonts w:ascii="Times New Roman" w:hAnsi="Times New Roman"/>
          <w:b/>
          <w:color w:val="000000"/>
          <w:sz w:val="24"/>
        </w:rPr>
        <w:t>Figure 2. Attendance Distribution by Risk Class</w:t>
      </w:r>
    </w:p>
    <w:p>
      <w:pPr>
        <w:keepNext/>
        <w:spacing w:before="40" w:after="0"/>
        <w:jc w:val="center"/>
      </w:pPr>
      <w:r>
        <w:drawing>
          <wp:inline xmlns:a="http://schemas.openxmlformats.org/drawingml/2006/main" xmlns:pic="http://schemas.openxmlformats.org/drawingml/2006/picture">
            <wp:extent cx="4297680" cy="2408657"/>
            <wp:docPr id="1706160796" name="Picture 1706160796"/>
            <wp:cNvGraphicFramePr>
              <a:graphicFrameLocks noChangeAspect="1"/>
            </wp:cNvGraphicFramePr>
            <a:graphic>
              <a:graphicData uri="http://schemas.openxmlformats.org/drawingml/2006/picture">
                <pic:pic>
                  <pic:nvPicPr>
                    <pic:cNvPr id="0" name="fig2_attendance_distribution.png"/>
                    <pic:cNvPicPr/>
                  </pic:nvPicPr>
                  <pic:blipFill>
                    <a:blip r:embed="rId11"/>
                    <a:stretch>
                      <a:fillRect/>
                    </a:stretch>
                  </pic:blipFill>
                  <pic:spPr>
                    <a:xfrm>
                      <a:off x="0" y="0"/>
                      <a:ext cx="4297680" cy="2408657"/>
                    </a:xfrm>
                    <a:prstGeom prst="rect"/>
                  </pic:spPr>
                </pic:pic>
              </a:graphicData>
            </a:graphic>
          </wp:inline>
        </w:drawing>
      </w:r>
    </w:p>
    <w:p>
      <w:pPr>
        <w:keepLines/>
        <w:spacing w:before="0" w:after="120"/>
        <w:jc w:val="center"/>
      </w:pPr>
      <w:r>
        <w:rPr>
          <w:rFonts w:ascii="Times New Roman" w:hAnsi="Times New Roman"/>
          <w:i/>
          <w:color w:val="374150"/>
          <w:sz w:val="18"/>
        </w:rPr>
        <w:t>Figure 2. Attendance distributions overlap; the At-Risk group has lower average attendance in this generated dataset.</w:t>
      </w:r>
    </w:p>
    <w:p>
      <w:pPr>
        <w:spacing w:before="0" w:after="40" w:line="259" w:lineRule="auto"/>
        <w:jc w:val="both"/>
      </w:pPr>
      <w:r>
        <w:rPr>
          <w:rFonts w:ascii="Times New Roman" w:hAnsi="Times New Roman"/>
          <w:i w:val="0"/>
          <w:color w:val="000000"/>
          <w:sz w:val="19"/>
        </w:rPr>
        <w:t>In the dataset, mean attendance is 78.73% for Not At Risk and 70.47% for At Risk. The overlap shows why attendance alone is not enough to classify every student.</w:t>
      </w:r>
    </w:p>
    <w:p>
      <w:pPr>
        <w:keepNext/>
        <w:pageBreakBefore/>
        <w:spacing w:before="0" w:after="140"/>
        <w:jc w:val="left"/>
      </w:pPr>
      <w:r>
        <w:rPr>
          <w:rFonts w:ascii="Times New Roman" w:hAnsi="Times New Roman"/>
          <w:b/>
          <w:color w:val="000000"/>
          <w:sz w:val="28"/>
        </w:rPr>
        <w:t>3.5 Summary of EDA Findings</w:t>
      </w:r>
    </w:p>
    <w:p>
      <w:pPr>
        <w:keepNext/>
        <w:spacing w:before="120" w:after="60"/>
      </w:pPr>
      <w:r>
        <w:rPr>
          <w:rFonts w:ascii="Times New Roman" w:hAnsi="Times New Roman"/>
          <w:b/>
          <w:color w:val="000000"/>
          <w:sz w:val="24"/>
        </w:rPr>
        <w:t>Figure 3. Backlogs vs Risk Class</w:t>
      </w:r>
    </w:p>
    <w:p>
      <w:pPr>
        <w:keepNext/>
        <w:spacing w:before="40" w:after="0"/>
        <w:jc w:val="center"/>
      </w:pPr>
      <w:r>
        <w:drawing>
          <wp:inline xmlns:a="http://schemas.openxmlformats.org/drawingml/2006/main" xmlns:pic="http://schemas.openxmlformats.org/drawingml/2006/picture">
            <wp:extent cx="3931920" cy="2209258"/>
            <wp:docPr id="1706160797" name="Picture 1706160797"/>
            <wp:cNvGraphicFramePr>
              <a:graphicFrameLocks noChangeAspect="1"/>
            </wp:cNvGraphicFramePr>
            <a:graphic>
              <a:graphicData uri="http://schemas.openxmlformats.org/drawingml/2006/picture">
                <pic:pic>
                  <pic:nvPicPr>
                    <pic:cNvPr id="0" name="fig3_backlogs_boxplot.png"/>
                    <pic:cNvPicPr/>
                  </pic:nvPicPr>
                  <pic:blipFill>
                    <a:blip r:embed="rId12"/>
                    <a:stretch>
                      <a:fillRect/>
                    </a:stretch>
                  </pic:blipFill>
                  <pic:spPr>
                    <a:xfrm>
                      <a:off x="0" y="0"/>
                      <a:ext cx="3931920" cy="2209258"/>
                    </a:xfrm>
                    <a:prstGeom prst="rect"/>
                  </pic:spPr>
                </pic:pic>
              </a:graphicData>
            </a:graphic>
          </wp:inline>
        </w:drawing>
      </w:r>
    </w:p>
    <w:p>
      <w:pPr>
        <w:keepLines/>
        <w:spacing w:before="0" w:after="120"/>
        <w:jc w:val="center"/>
      </w:pPr>
      <w:r>
        <w:rPr>
          <w:rFonts w:ascii="Times New Roman" w:hAnsi="Times New Roman"/>
          <w:i/>
          <w:color w:val="374150"/>
          <w:sz w:val="18"/>
        </w:rPr>
        <w:t>Figure 3. Boxplot comparing backlog counts in the Not-At-Risk and At-Risk groups.</w:t>
      </w:r>
    </w:p>
    <w:p>
      <w:pPr>
        <w:spacing w:before="0" w:after="40" w:line="259" w:lineRule="auto"/>
        <w:jc w:val="both"/>
      </w:pPr>
      <w:r>
        <w:rPr>
          <w:rFonts w:ascii="Times New Roman" w:hAnsi="Times New Roman"/>
          <w:i w:val="0"/>
          <w:color w:val="000000"/>
          <w:sz w:val="19"/>
        </w:rPr>
        <w:t>Mean backlog count is 0.822 for Not At Risk and 1.532 for At Risk. This describes association, not causation.</w:t>
      </w:r>
    </w:p>
    <w:p>
      <w:pPr>
        <w:keepNext/>
        <w:spacing w:before="120" w:after="60"/>
      </w:pPr>
      <w:r>
        <w:rPr>
          <w:rFonts w:ascii="Times New Roman" w:hAnsi="Times New Roman"/>
          <w:b/>
          <w:color w:val="000000"/>
          <w:sz w:val="24"/>
        </w:rPr>
        <w:t>Figure 4. Correlation Matrix of Numerical Features</w:t>
      </w:r>
    </w:p>
    <w:p>
      <w:pPr>
        <w:keepNext/>
        <w:spacing w:before="40" w:after="0"/>
        <w:jc w:val="center"/>
      </w:pPr>
      <w:r>
        <w:drawing>
          <wp:inline xmlns:a="http://schemas.openxmlformats.org/drawingml/2006/main" xmlns:pic="http://schemas.openxmlformats.org/drawingml/2006/picture">
            <wp:extent cx="3474720" cy="2909137"/>
            <wp:docPr id="1706160798" name="Picture 1706160798"/>
            <wp:cNvGraphicFramePr>
              <a:graphicFrameLocks noChangeAspect="1"/>
            </wp:cNvGraphicFramePr>
            <a:graphic>
              <a:graphicData uri="http://schemas.openxmlformats.org/drawingml/2006/picture">
                <pic:pic>
                  <pic:nvPicPr>
                    <pic:cNvPr id="0" name="fig4_correlation_matrix.png"/>
                    <pic:cNvPicPr/>
                  </pic:nvPicPr>
                  <pic:blipFill>
                    <a:blip r:embed="rId13"/>
                    <a:stretch>
                      <a:fillRect/>
                    </a:stretch>
                  </pic:blipFill>
                  <pic:spPr>
                    <a:xfrm>
                      <a:off x="0" y="0"/>
                      <a:ext cx="3474720" cy="2909137"/>
                    </a:xfrm>
                    <a:prstGeom prst="rect"/>
                  </pic:spPr>
                </pic:pic>
              </a:graphicData>
            </a:graphic>
          </wp:inline>
        </w:drawing>
      </w:r>
    </w:p>
    <w:p>
      <w:pPr>
        <w:keepLines/>
        <w:spacing w:before="0" w:after="120"/>
        <w:jc w:val="center"/>
      </w:pPr>
      <w:r>
        <w:rPr>
          <w:rFonts w:ascii="Times New Roman" w:hAnsi="Times New Roman"/>
          <w:i/>
          <w:color w:val="374150"/>
          <w:sz w:val="18"/>
        </w:rPr>
        <w:t>Figure 4. Pairwise correlations among the six numerical input features; the diagonal equals 1 because each feature is correlated with itself.</w:t>
      </w:r>
    </w:p>
    <w:p>
      <w:pPr>
        <w:spacing w:before="0" w:after="60" w:line="259" w:lineRule="auto"/>
        <w:jc w:val="both"/>
      </w:pPr>
      <w:r>
        <w:rPr>
          <w:rFonts w:ascii="Times New Roman" w:hAnsi="Times New Roman"/>
          <w:i w:val="0"/>
          <w:color w:val="000000"/>
          <w:sz w:val="19"/>
        </w:rPr>
        <w:t>The off-diagonal feature-to-feature correlations are close to zero, indicating little evidence of strong pairwise linear association. The matrix includes only input features, not the At_Risk target; near-zero correlation does not rule out nonlinear relationships.</w:t>
      </w:r>
    </w:p>
    <w:p>
      <w:pPr>
        <w:keepNext/>
        <w:spacing w:before="120" w:after="60"/>
      </w:pPr>
      <w:r>
        <w:rPr>
          <w:rFonts w:ascii="Times New Roman" w:hAnsi="Times New Roman"/>
          <w:b/>
          <w:color w:val="000000"/>
          <w:sz w:val="24"/>
        </w:rPr>
        <w:t>Overall EDA Findings</w:t>
      </w:r>
    </w:p>
    <w:p>
      <w:pPr>
        <w:spacing w:after="40" w:line="245" w:lineRule="auto"/>
        <w:ind w:left="360" w:hanging="202"/>
      </w:pPr>
      <w:r>
        <w:rPr>
          <w:rFonts w:ascii="Times New Roman" w:hAnsi="Times New Roman"/>
          <w:color w:val="000000"/>
          <w:sz w:val="18"/>
        </w:rPr>
        <w:t>• The dataset has 1,000 records, six numerical predictors, and one binary categorical target.</w:t>
      </w:r>
    </w:p>
    <w:p>
      <w:pPr>
        <w:spacing w:after="40" w:line="245" w:lineRule="auto"/>
        <w:ind w:left="360" w:hanging="202"/>
      </w:pPr>
      <w:r>
        <w:rPr>
          <w:rFonts w:ascii="Times New Roman" w:hAnsi="Times New Roman"/>
          <w:color w:val="000000"/>
          <w:sz w:val="18"/>
        </w:rPr>
        <w:t>• No missing values or exact duplicate rows were detected; target counts are 500 No and 500 Yes.</w:t>
      </w:r>
    </w:p>
    <w:p>
      <w:pPr>
        <w:spacing w:after="40" w:line="245" w:lineRule="auto"/>
        <w:ind w:left="360" w:hanging="202"/>
      </w:pPr>
      <w:r>
        <w:rPr>
          <w:rFonts w:ascii="Times New Roman" w:hAnsi="Times New Roman"/>
          <w:color w:val="000000"/>
          <w:sz w:val="18"/>
        </w:rPr>
        <w:t>• At-Risk records have lower average attendance and higher average backlog counts in this synthetic dataset.</w:t>
      </w:r>
    </w:p>
    <w:p>
      <w:pPr>
        <w:spacing w:after="40" w:line="245" w:lineRule="auto"/>
        <w:ind w:left="360" w:hanging="202"/>
      </w:pPr>
      <w:r>
        <w:rPr>
          <w:rFonts w:ascii="Times New Roman" w:hAnsi="Times New Roman"/>
          <w:color w:val="000000"/>
          <w:sz w:val="18"/>
        </w:rPr>
        <w:t>• Feature distributions overlap, so the model uses all six indicators instead of a single feature.</w:t>
      </w:r>
    </w:p>
    <w:p>
      <w:pPr>
        <w:keepNext/>
        <w:pageBreakBefore/>
        <w:spacing w:before="0" w:after="140"/>
        <w:jc w:val="left"/>
      </w:pPr>
      <w:r>
        <w:rPr>
          <w:rFonts w:ascii="Times New Roman" w:hAnsi="Times New Roman"/>
          <w:b/>
          <w:color w:val="000000"/>
          <w:sz w:val="28"/>
        </w:rPr>
        <w:t>4. ALGORITHM SELECTION AND IMPLEMENTATION</w:t>
      </w:r>
    </w:p>
    <w:p>
      <w:pPr>
        <w:keepNext/>
        <w:spacing w:before="120" w:after="60"/>
      </w:pPr>
      <w:r>
        <w:rPr>
          <w:rFonts w:ascii="Times New Roman" w:hAnsi="Times New Roman"/>
          <w:b/>
          <w:color w:val="000000"/>
          <w:sz w:val="24"/>
        </w:rPr>
        <w:t>4.1 Learning Type and Algorithm Choice</w:t>
      </w:r>
    </w:p>
    <w:p>
      <w:pPr>
        <w:spacing w:before="0" w:after="100" w:line="259" w:lineRule="auto"/>
        <w:jc w:val="both"/>
      </w:pPr>
      <w:r>
        <w:rPr>
          <w:rFonts w:ascii="Times New Roman" w:hAnsi="Times New Roman"/>
          <w:i w:val="0"/>
          <w:color w:val="000000"/>
          <w:sz w:val="21"/>
        </w:rPr>
        <w:t>The project uses supervised learning because each training record has a known At_Risk label. The task is binary classification, and Logistic Regression was selected as an interpretable baseline that provides class probabilities and is aligned with the current Machine Learning syllabus. More complex models may be evaluated in future work.</w:t>
      </w:r>
    </w:p>
    <w:p>
      <w:pPr>
        <w:keepNext/>
        <w:spacing w:before="120" w:after="60"/>
      </w:pPr>
      <w:r>
        <w:rPr>
          <w:rFonts w:ascii="Times New Roman" w:hAnsi="Times New Roman"/>
          <w:b/>
          <w:color w:val="000000"/>
          <w:sz w:val="24"/>
        </w:rPr>
        <w:t>4.2 Preprocessing and Train/Test Split</w:t>
      </w:r>
    </w:p>
    <w:p>
      <w:pPr>
        <w:spacing w:before="0" w:after="100" w:line="259" w:lineRule="auto"/>
        <w:jc w:val="both"/>
      </w:pPr>
      <w:r>
        <w:rPr>
          <w:rFonts w:ascii="Times New Roman" w:hAnsi="Times New Roman"/>
          <w:i w:val="0"/>
          <w:color w:val="000000"/>
          <w:sz w:val="21"/>
        </w:rPr>
        <w:t>The target is encoded as No = 0 and Yes = 1. train_test_split uses test_size = 0.20, stratify = y, and random_state = 42, creating 800 training records and 200 test records. StandardScaler learns the means and standard deviations from the 800 training records using fit_transform. The same scaler then transforms the training and test inputs. It is not fitted on the test set, which avoids using test-set information during preprocessing.</w:t>
      </w:r>
    </w:p>
    <w:p>
      <w:pPr>
        <w:spacing w:before="60" w:after="100"/>
        <w:jc w:val="center"/>
      </w:pPr>
      <w:r>
        <w:rPr>
          <w:rFonts w:ascii="Times New Roman" w:hAnsi="Times New Roman"/>
          <w:b/>
          <w:color w:val="000000"/>
          <w:sz w:val="22"/>
        </w:rPr>
        <w:t>x_scaled = (x − μ) / σ</w:t>
      </w:r>
    </w:p>
    <w:p>
      <w:pPr>
        <w:keepNext/>
        <w:spacing w:before="120" w:after="60"/>
      </w:pPr>
      <w:r>
        <w:rPr>
          <w:rFonts w:ascii="Times New Roman" w:hAnsi="Times New Roman"/>
          <w:b/>
          <w:color w:val="000000"/>
          <w:sz w:val="24"/>
        </w:rPr>
        <w:t>4.3 Logistic Regression Calculation</w:t>
      </w:r>
    </w:p>
    <w:p>
      <w:pPr>
        <w:spacing w:before="0" w:after="100" w:line="259" w:lineRule="auto"/>
        <w:jc w:val="both"/>
      </w:pPr>
      <w:r>
        <w:rPr>
          <w:rFonts w:ascii="Times New Roman" w:hAnsi="Times New Roman"/>
          <w:i w:val="0"/>
          <w:color w:val="000000"/>
          <w:sz w:val="21"/>
        </w:rPr>
        <w:t>During model.fit(), Logistic Regression learns the coefficients and intercept that optimize its classification objective on the training records. For a new record, it calculates a weighted sum of the standardized features and applies the sigmoid function to obtain a probability.</w:t>
      </w:r>
    </w:p>
    <w:p>
      <w:pPr>
        <w:spacing w:before="60" w:after="100"/>
        <w:jc w:val="center"/>
      </w:pPr>
      <w:r>
        <w:rPr>
          <w:rFonts w:ascii="Times New Roman" w:hAnsi="Times New Roman"/>
          <w:b/>
          <w:color w:val="000000"/>
          <w:sz w:val="22"/>
        </w:rPr>
        <w:t>z = b₀ + b₁x₁ + b₂x₂ + … + b₆x₆</w:t>
      </w:r>
    </w:p>
    <w:p>
      <w:pPr>
        <w:spacing w:before="60" w:after="100"/>
        <w:jc w:val="center"/>
      </w:pPr>
      <w:r>
        <w:rPr>
          <w:rFonts w:ascii="Times New Roman" w:hAnsi="Times New Roman"/>
          <w:b/>
          <w:color w:val="000000"/>
          <w:sz w:val="22"/>
        </w:rPr>
        <w:t>P(At Risk) = 1 / (1 + e^(−z))</w:t>
      </w:r>
    </w:p>
    <w:p>
      <w:pPr>
        <w:spacing w:before="0" w:after="100" w:line="259" w:lineRule="auto"/>
        <w:jc w:val="both"/>
      </w:pPr>
      <w:r>
        <w:rPr>
          <w:rFonts w:ascii="Times New Roman" w:hAnsi="Times New Roman"/>
          <w:i w:val="0"/>
          <w:color w:val="000000"/>
          <w:sz w:val="21"/>
        </w:rPr>
        <w:t>The baseline decision rule is P(At Risk) ≥ 0.50 → YES; otherwise → NO. The value 0.50 is a probability-to-class threshold, not an input feature or a separately calculated risk score. It has not been optimized on a separate validation set.</w:t>
      </w:r>
    </w:p>
    <w:p>
      <w:pPr>
        <w:keepNext/>
        <w:spacing w:before="120" w:after="60"/>
      </w:pPr>
      <w:r>
        <w:rPr>
          <w:rFonts w:ascii="Times New Roman" w:hAnsi="Times New Roman"/>
          <w:b/>
          <w:color w:val="000000"/>
          <w:sz w:val="24"/>
        </w:rPr>
        <w:t>4.4 Core Training Code</w:t>
      </w:r>
    </w:p>
    <w:p>
      <w:pPr>
        <w:spacing w:before="0" w:after="0" w:line="240" w:lineRule="auto"/>
        <w:ind w:left="173" w:right="173"/>
        <w:shd w:fill="F2F4F7"/>
      </w:pPr>
      <w:r>
        <w:rPr>
          <w:rFonts w:ascii="Consolas" w:hAnsi="Consolas"/>
          <w:color w:val="28303A"/>
          <w:sz w:val="16"/>
        </w:rPr>
        <w:t>X = df[features]</w:t>
      </w:r>
    </w:p>
    <w:p>
      <w:pPr>
        <w:spacing w:before="0" w:after="0" w:line="240" w:lineRule="auto"/>
        <w:ind w:left="173" w:right="173"/>
        <w:shd w:fill="F2F4F7"/>
      </w:pPr>
      <w:r>
        <w:rPr>
          <w:rFonts w:ascii="Consolas" w:hAnsi="Consolas"/>
          <w:color w:val="28303A"/>
          <w:sz w:val="16"/>
        </w:rPr>
        <w:t>y = df["At_Risk"].map({"No": 0, "Yes": 1})</w:t>
      </w:r>
    </w:p>
    <w:p>
      <w:pPr>
        <w:spacing w:before="0" w:after="0" w:line="240" w:lineRule="auto"/>
        <w:ind w:left="173" w:right="173"/>
        <w:shd w:fill="F2F4F7"/>
      </w:pPr>
      <w:r>
        <w:rPr>
          <w:rFonts w:ascii="Consolas" w:hAnsi="Consolas"/>
          <w:color w:val="28303A"/>
          <w:sz w:val="16"/>
        </w:rPr>
        <w:t xml:space="preserve"> </w:t>
      </w:r>
    </w:p>
    <w:p>
      <w:pPr>
        <w:spacing w:before="0" w:after="0" w:line="240" w:lineRule="auto"/>
        <w:ind w:left="173" w:right="173"/>
        <w:shd w:fill="F2F4F7"/>
      </w:pPr>
      <w:r>
        <w:rPr>
          <w:rFonts w:ascii="Consolas" w:hAnsi="Consolas"/>
          <w:color w:val="28303A"/>
          <w:sz w:val="16"/>
        </w:rPr>
        <w:t>X_train, X_test, y_train, y_test = train_test_split(</w:t>
      </w:r>
    </w:p>
    <w:p>
      <w:pPr>
        <w:spacing w:before="0" w:after="0" w:line="240" w:lineRule="auto"/>
        <w:ind w:left="173" w:right="173"/>
        <w:shd w:fill="F2F4F7"/>
      </w:pPr>
      <w:r>
        <w:rPr>
          <w:rFonts w:ascii="Consolas" w:hAnsi="Consolas"/>
          <w:color w:val="28303A"/>
          <w:sz w:val="16"/>
        </w:rPr>
        <w:t xml:space="preserve">    X, y, test_size=0.20, stratify=y, random_state=42</w:t>
      </w:r>
    </w:p>
    <w:p>
      <w:pPr>
        <w:spacing w:before="0" w:after="0" w:line="240" w:lineRule="auto"/>
        <w:ind w:left="173" w:right="173"/>
        <w:shd w:fill="F2F4F7"/>
      </w:pPr>
      <w:r>
        <w:rPr>
          <w:rFonts w:ascii="Consolas" w:hAnsi="Consolas"/>
          <w:color w:val="28303A"/>
          <w:sz w:val="16"/>
        </w:rPr>
        <w:t>)</w:t>
      </w:r>
    </w:p>
    <w:p>
      <w:pPr>
        <w:spacing w:before="0" w:after="0" w:line="240" w:lineRule="auto"/>
        <w:ind w:left="173" w:right="173"/>
        <w:shd w:fill="F2F4F7"/>
      </w:pPr>
      <w:r>
        <w:rPr>
          <w:rFonts w:ascii="Consolas" w:hAnsi="Consolas"/>
          <w:color w:val="28303A"/>
          <w:sz w:val="16"/>
        </w:rPr>
        <w:t>scaler = StandardScaler()</w:t>
      </w:r>
    </w:p>
    <w:p>
      <w:pPr>
        <w:spacing w:before="0" w:after="0" w:line="240" w:lineRule="auto"/>
        <w:ind w:left="173" w:right="173"/>
        <w:shd w:fill="F2F4F7"/>
      </w:pPr>
      <w:r>
        <w:rPr>
          <w:rFonts w:ascii="Consolas" w:hAnsi="Consolas"/>
          <w:color w:val="28303A"/>
          <w:sz w:val="16"/>
        </w:rPr>
        <w:t>X_train_scaled = scaler.fit_transform(X_train)</w:t>
      </w:r>
    </w:p>
    <w:p>
      <w:pPr>
        <w:spacing w:before="0" w:after="0" w:line="240" w:lineRule="auto"/>
        <w:ind w:left="173" w:right="173"/>
        <w:shd w:fill="F2F4F7"/>
      </w:pPr>
      <w:r>
        <w:rPr>
          <w:rFonts w:ascii="Consolas" w:hAnsi="Consolas"/>
          <w:color w:val="28303A"/>
          <w:sz w:val="16"/>
        </w:rPr>
        <w:t>X_test_scaled = scaler.transform(X_test)</w:t>
      </w:r>
    </w:p>
    <w:p>
      <w:pPr>
        <w:spacing w:before="0" w:after="0" w:line="240" w:lineRule="auto"/>
        <w:ind w:left="173" w:right="173"/>
        <w:shd w:fill="F2F4F7"/>
      </w:pPr>
      <w:r>
        <w:rPr>
          <w:rFonts w:ascii="Consolas" w:hAnsi="Consolas"/>
          <w:color w:val="28303A"/>
          <w:sz w:val="16"/>
        </w:rPr>
        <w:t xml:space="preserve"> </w:t>
      </w:r>
    </w:p>
    <w:p>
      <w:pPr>
        <w:spacing w:before="0" w:after="0" w:line="240" w:lineRule="auto"/>
        <w:ind w:left="173" w:right="173"/>
        <w:shd w:fill="F2F4F7"/>
      </w:pPr>
      <w:r>
        <w:rPr>
          <w:rFonts w:ascii="Consolas" w:hAnsi="Consolas"/>
          <w:color w:val="28303A"/>
          <w:sz w:val="16"/>
        </w:rPr>
        <w:t>model = LogisticRegression(random_state=42)</w:t>
      </w:r>
    </w:p>
    <w:p>
      <w:pPr>
        <w:spacing w:before="0" w:after="0" w:line="240" w:lineRule="auto"/>
        <w:ind w:left="173" w:right="173"/>
        <w:shd w:fill="F2F4F7"/>
      </w:pPr>
      <w:r>
        <w:rPr>
          <w:rFonts w:ascii="Consolas" w:hAnsi="Consolas"/>
          <w:color w:val="28303A"/>
          <w:sz w:val="16"/>
        </w:rPr>
        <w:t>model.fit(X_train_scaled, y_train)</w:t>
      </w:r>
    </w:p>
    <w:p>
      <w:pPr>
        <w:spacing w:before="0" w:after="0" w:line="240" w:lineRule="auto"/>
        <w:ind w:left="173" w:right="173"/>
        <w:shd w:fill="F2F4F7"/>
      </w:pPr>
      <w:r>
        <w:rPr>
          <w:rFonts w:ascii="Consolas" w:hAnsi="Consolas"/>
          <w:color w:val="28303A"/>
          <w:sz w:val="16"/>
        </w:rPr>
        <w:t>y_pred = model.predict(X_test_scaled)</w:t>
      </w:r>
    </w:p>
    <w:p>
      <w:pPr>
        <w:spacing w:before="0" w:after="0" w:line="240" w:lineRule="auto"/>
        <w:ind w:left="173" w:right="173"/>
        <w:shd w:fill="F2F4F7"/>
      </w:pPr>
      <w:r>
        <w:rPr>
          <w:rFonts w:ascii="Consolas" w:hAnsi="Consolas"/>
          <w:color w:val="28303A"/>
          <w:sz w:val="16"/>
        </w:rPr>
        <w:t>y_prob = model.predict_proba(X_test_scaled)[:, 1]</w:t>
      </w:r>
    </w:p>
    <w:p>
      <w:pPr>
        <w:keepNext/>
        <w:spacing w:before="120" w:after="60"/>
      </w:pPr>
      <w:r>
        <w:rPr>
          <w:rFonts w:ascii="Times New Roman" w:hAnsi="Times New Roman"/>
          <w:b/>
          <w:color w:val="000000"/>
          <w:sz w:val="24"/>
        </w:rPr>
        <w:t>4.5 Example Prediction</w:t>
      </w:r>
    </w:p>
    <w:p>
      <w:pPr>
        <w:spacing w:before="0" w:after="100" w:line="259" w:lineRule="auto"/>
        <w:jc w:val="both"/>
      </w:pPr>
      <w:r>
        <w:rPr>
          <w:rFonts w:ascii="Times New Roman" w:hAnsi="Times New Roman"/>
          <w:i w:val="0"/>
          <w:color w:val="000000"/>
          <w:sz w:val="21"/>
        </w:rPr>
        <w:t>For the example student (attendance 55, previous grades 45, assignment performance 48, internal marks 42, participation 2, backlogs 3), the training-set scaler produces standardized values of approximately −1.7145, −1.2349, −1.3476, −1.7821, −1.9851, and +1.7229. Applying the learned coefficients gives z ≈ 9.0271; the sigmoid probability is approximately 0.99988 (99.99%). Since this exceeds 0.50, the prototype predicts YES — At Risk. The prediction is an example from synthetic data, not a verified assessment of a real student.</w:t>
      </w:r>
    </w:p>
    <w:p>
      <w:pPr>
        <w:keepNext/>
        <w:pageBreakBefore/>
        <w:spacing w:before="0" w:after="140"/>
        <w:jc w:val="left"/>
      </w:pPr>
      <w:r>
        <w:rPr>
          <w:rFonts w:ascii="Times New Roman" w:hAnsi="Times New Roman"/>
          <w:b/>
          <w:color w:val="000000"/>
          <w:sz w:val="28"/>
        </w:rPr>
        <w:t>5. WORKED EXAMPLE AND SCALER PARAMETERS</w:t>
      </w:r>
    </w:p>
    <w:p>
      <w:pPr>
        <w:spacing w:before="0" w:after="100" w:line="259" w:lineRule="auto"/>
        <w:jc w:val="both"/>
      </w:pPr>
      <w:r>
        <w:rPr>
          <w:rFonts w:ascii="Times New Roman" w:hAnsi="Times New Roman"/>
          <w:i w:val="0"/>
          <w:color w:val="000000"/>
          <w:sz w:val="21"/>
        </w:rPr>
        <w:t>StandardScaler uses the training-set mean and scale (standard deviation in this dataset) from the 800 training records, not the statistics calculated over all 1,000 records. The values below reproduce the preprocessing step used for the example student.</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72"/>
        <w:gridCol w:w="1872"/>
        <w:gridCol w:w="1872"/>
        <w:gridCol w:w="1872"/>
        <w:gridCol w:w="1872"/>
      </w:tblGrid>
      <w:tr>
        <w:tc>
          <w:tcPr>
            <w:tcW w:type="dxa" w:w="2448"/>
            <w:vAlign w:val="center"/>
            <w:shd w:fill="D9EAF7"/>
          </w:tcPr>
          <w:p>
            <w:pPr>
              <w:spacing w:after="0" w:before="0"/>
              <w:jc w:val="center"/>
            </w:pPr>
            <w:r/>
            <w:r>
              <w:rPr>
                <w:rFonts w:ascii="Times New Roman" w:hAnsi="Times New Roman"/>
                <w:b/>
                <w:color w:val="000000"/>
                <w:sz w:val="16"/>
              </w:rPr>
              <w:t>Feature</w:t>
            </w:r>
          </w:p>
        </w:tc>
        <w:tc>
          <w:tcPr>
            <w:tcW w:type="dxa" w:w="1152"/>
            <w:vAlign w:val="center"/>
            <w:shd w:fill="D9EAF7"/>
          </w:tcPr>
          <w:p>
            <w:pPr>
              <w:spacing w:after="0" w:before="0"/>
              <w:jc w:val="center"/>
            </w:pPr>
            <w:r/>
            <w:r>
              <w:rPr>
                <w:rFonts w:ascii="Times New Roman" w:hAnsi="Times New Roman"/>
                <w:b/>
                <w:color w:val="000000"/>
                <w:sz w:val="16"/>
              </w:rPr>
              <w:t>Raw value</w:t>
            </w:r>
          </w:p>
        </w:tc>
        <w:tc>
          <w:tcPr>
            <w:tcW w:type="dxa" w:w="1800"/>
            <w:vAlign w:val="center"/>
            <w:shd w:fill="D9EAF7"/>
          </w:tcPr>
          <w:p>
            <w:pPr>
              <w:spacing w:after="0" w:before="0"/>
              <w:jc w:val="center"/>
            </w:pPr>
            <w:r/>
            <w:r>
              <w:rPr>
                <w:rFonts w:ascii="Times New Roman" w:hAnsi="Times New Roman"/>
                <w:b/>
                <w:color w:val="000000"/>
                <w:sz w:val="16"/>
              </w:rPr>
              <w:t>Training mean (μ)</w:t>
            </w:r>
          </w:p>
        </w:tc>
        <w:tc>
          <w:tcPr>
            <w:tcW w:type="dxa" w:w="1800"/>
            <w:vAlign w:val="center"/>
            <w:shd w:fill="D9EAF7"/>
          </w:tcPr>
          <w:p>
            <w:pPr>
              <w:spacing w:after="0" w:before="0"/>
              <w:jc w:val="center"/>
            </w:pPr>
            <w:r/>
            <w:r>
              <w:rPr>
                <w:rFonts w:ascii="Times New Roman" w:hAnsi="Times New Roman"/>
                <w:b/>
                <w:color w:val="000000"/>
                <w:sz w:val="16"/>
              </w:rPr>
              <w:t>Training std (σ)</w:t>
            </w:r>
          </w:p>
        </w:tc>
        <w:tc>
          <w:tcPr>
            <w:tcW w:type="dxa" w:w="1440"/>
            <w:vAlign w:val="center"/>
            <w:shd w:fill="D9EAF7"/>
          </w:tcPr>
          <w:p>
            <w:pPr>
              <w:spacing w:after="0" w:before="0"/>
              <w:jc w:val="center"/>
            </w:pPr>
            <w:r/>
            <w:r>
              <w:rPr>
                <w:rFonts w:ascii="Times New Roman" w:hAnsi="Times New Roman"/>
                <w:b/>
                <w:color w:val="000000"/>
                <w:sz w:val="16"/>
              </w:rPr>
              <w:t>Scaled value</w:t>
            </w:r>
          </w:p>
        </w:tc>
      </w:tr>
      <w:tr>
        <w:tc>
          <w:tcPr>
            <w:tcW w:type="dxa" w:w="2448"/>
            <w:vAlign w:val="center"/>
          </w:tcPr>
          <w:p>
            <w:pPr>
              <w:spacing w:after="0" w:before="0"/>
              <w:jc w:val="left"/>
            </w:pPr>
            <w:r/>
            <w:r>
              <w:rPr>
                <w:rFonts w:ascii="Times New Roman" w:hAnsi="Times New Roman"/>
                <w:b w:val="0"/>
                <w:color w:val="000000"/>
                <w:sz w:val="16"/>
              </w:rPr>
              <w:t>Attendance Percentage</w:t>
            </w:r>
          </w:p>
        </w:tc>
        <w:tc>
          <w:tcPr>
            <w:tcW w:type="dxa" w:w="1152"/>
            <w:vAlign w:val="center"/>
          </w:tcPr>
          <w:p>
            <w:pPr>
              <w:spacing w:after="0" w:before="0"/>
              <w:jc w:val="left"/>
            </w:pPr>
            <w:r/>
            <w:r>
              <w:rPr>
                <w:rFonts w:ascii="Times New Roman" w:hAnsi="Times New Roman"/>
                <w:b w:val="0"/>
                <w:color w:val="000000"/>
                <w:sz w:val="16"/>
              </w:rPr>
              <w:t>55</w:t>
            </w:r>
          </w:p>
        </w:tc>
        <w:tc>
          <w:tcPr>
            <w:tcW w:type="dxa" w:w="1800"/>
            <w:vAlign w:val="center"/>
          </w:tcPr>
          <w:p>
            <w:pPr>
              <w:spacing w:after="0" w:before="0"/>
              <w:jc w:val="left"/>
            </w:pPr>
            <w:r/>
            <w:r>
              <w:rPr>
                <w:rFonts w:ascii="Times New Roman" w:hAnsi="Times New Roman"/>
                <w:b w:val="0"/>
                <w:color w:val="000000"/>
                <w:sz w:val="16"/>
              </w:rPr>
              <w:t>74.86225</w:t>
            </w:r>
          </w:p>
        </w:tc>
        <w:tc>
          <w:tcPr>
            <w:tcW w:type="dxa" w:w="1800"/>
            <w:vAlign w:val="center"/>
          </w:tcPr>
          <w:p>
            <w:pPr>
              <w:spacing w:after="0" w:before="0"/>
              <w:jc w:val="left"/>
            </w:pPr>
            <w:r/>
            <w:r>
              <w:rPr>
                <w:rFonts w:ascii="Times New Roman" w:hAnsi="Times New Roman"/>
                <w:b w:val="0"/>
                <w:color w:val="000000"/>
                <w:sz w:val="16"/>
              </w:rPr>
              <w:t>11.58473</w:t>
            </w:r>
          </w:p>
        </w:tc>
        <w:tc>
          <w:tcPr>
            <w:tcW w:type="dxa" w:w="1440"/>
            <w:vAlign w:val="center"/>
          </w:tcPr>
          <w:p>
            <w:pPr>
              <w:spacing w:after="0" w:before="0"/>
              <w:jc w:val="left"/>
            </w:pPr>
            <w:r/>
            <w:r>
              <w:rPr>
                <w:rFonts w:ascii="Times New Roman" w:hAnsi="Times New Roman"/>
                <w:b w:val="0"/>
                <w:color w:val="000000"/>
                <w:sz w:val="16"/>
              </w:rPr>
              <w:t>-1.7145</w:t>
            </w:r>
          </w:p>
        </w:tc>
      </w:tr>
      <w:tr>
        <w:tc>
          <w:tcPr>
            <w:tcW w:type="dxa" w:w="2448"/>
            <w:vAlign w:val="center"/>
          </w:tcPr>
          <w:p>
            <w:pPr>
              <w:spacing w:after="0" w:before="0"/>
              <w:jc w:val="left"/>
            </w:pPr>
            <w:r/>
            <w:r>
              <w:rPr>
                <w:rFonts w:ascii="Times New Roman" w:hAnsi="Times New Roman"/>
                <w:b w:val="0"/>
                <w:color w:val="000000"/>
                <w:sz w:val="16"/>
              </w:rPr>
              <w:t>Previous Grades</w:t>
            </w:r>
          </w:p>
        </w:tc>
        <w:tc>
          <w:tcPr>
            <w:tcW w:type="dxa" w:w="1152"/>
            <w:vAlign w:val="center"/>
          </w:tcPr>
          <w:p>
            <w:pPr>
              <w:spacing w:after="0" w:before="0"/>
              <w:jc w:val="left"/>
            </w:pPr>
            <w:r/>
            <w:r>
              <w:rPr>
                <w:rFonts w:ascii="Times New Roman" w:hAnsi="Times New Roman"/>
                <w:b w:val="0"/>
                <w:color w:val="000000"/>
                <w:sz w:val="16"/>
              </w:rPr>
              <w:t>45</w:t>
            </w:r>
          </w:p>
        </w:tc>
        <w:tc>
          <w:tcPr>
            <w:tcW w:type="dxa" w:w="1800"/>
            <w:vAlign w:val="center"/>
          </w:tcPr>
          <w:p>
            <w:pPr>
              <w:spacing w:after="0" w:before="0"/>
              <w:jc w:val="left"/>
            </w:pPr>
            <w:r/>
            <w:r>
              <w:rPr>
                <w:rFonts w:ascii="Times New Roman" w:hAnsi="Times New Roman"/>
                <w:b w:val="0"/>
                <w:color w:val="000000"/>
                <w:sz w:val="16"/>
              </w:rPr>
              <w:t>63.72100</w:t>
            </w:r>
          </w:p>
        </w:tc>
        <w:tc>
          <w:tcPr>
            <w:tcW w:type="dxa" w:w="1800"/>
            <w:vAlign w:val="center"/>
          </w:tcPr>
          <w:p>
            <w:pPr>
              <w:spacing w:after="0" w:before="0"/>
              <w:jc w:val="left"/>
            </w:pPr>
            <w:r/>
            <w:r>
              <w:rPr>
                <w:rFonts w:ascii="Times New Roman" w:hAnsi="Times New Roman"/>
                <w:b w:val="0"/>
                <w:color w:val="000000"/>
                <w:sz w:val="16"/>
              </w:rPr>
              <w:t>15.15947</w:t>
            </w:r>
          </w:p>
        </w:tc>
        <w:tc>
          <w:tcPr>
            <w:tcW w:type="dxa" w:w="1440"/>
            <w:vAlign w:val="center"/>
          </w:tcPr>
          <w:p>
            <w:pPr>
              <w:spacing w:after="0" w:before="0"/>
              <w:jc w:val="left"/>
            </w:pPr>
            <w:r/>
            <w:r>
              <w:rPr>
                <w:rFonts w:ascii="Times New Roman" w:hAnsi="Times New Roman"/>
                <w:b w:val="0"/>
                <w:color w:val="000000"/>
                <w:sz w:val="16"/>
              </w:rPr>
              <w:t>-1.2349</w:t>
            </w:r>
          </w:p>
        </w:tc>
      </w:tr>
      <w:tr>
        <w:tc>
          <w:tcPr>
            <w:tcW w:type="dxa" w:w="2448"/>
            <w:vAlign w:val="center"/>
          </w:tcPr>
          <w:p>
            <w:pPr>
              <w:spacing w:after="0" w:before="0"/>
              <w:jc w:val="left"/>
            </w:pPr>
            <w:r/>
            <w:r>
              <w:rPr>
                <w:rFonts w:ascii="Times New Roman" w:hAnsi="Times New Roman"/>
                <w:b w:val="0"/>
                <w:color w:val="000000"/>
                <w:sz w:val="16"/>
              </w:rPr>
              <w:t>Assignment Performance</w:t>
            </w:r>
          </w:p>
        </w:tc>
        <w:tc>
          <w:tcPr>
            <w:tcW w:type="dxa" w:w="1152"/>
            <w:vAlign w:val="center"/>
          </w:tcPr>
          <w:p>
            <w:pPr>
              <w:spacing w:after="0" w:before="0"/>
              <w:jc w:val="left"/>
            </w:pPr>
            <w:r/>
            <w:r>
              <w:rPr>
                <w:rFonts w:ascii="Times New Roman" w:hAnsi="Times New Roman"/>
                <w:b w:val="0"/>
                <w:color w:val="000000"/>
                <w:sz w:val="16"/>
              </w:rPr>
              <w:t>48</w:t>
            </w:r>
          </w:p>
        </w:tc>
        <w:tc>
          <w:tcPr>
            <w:tcW w:type="dxa" w:w="1800"/>
            <w:vAlign w:val="center"/>
          </w:tcPr>
          <w:p>
            <w:pPr>
              <w:spacing w:after="0" w:before="0"/>
              <w:jc w:val="left"/>
            </w:pPr>
            <w:r/>
            <w:r>
              <w:rPr>
                <w:rFonts w:ascii="Times New Roman" w:hAnsi="Times New Roman"/>
                <w:b w:val="0"/>
                <w:color w:val="000000"/>
                <w:sz w:val="16"/>
              </w:rPr>
              <w:t>68.32413</w:t>
            </w:r>
          </w:p>
        </w:tc>
        <w:tc>
          <w:tcPr>
            <w:tcW w:type="dxa" w:w="1800"/>
            <w:vAlign w:val="center"/>
          </w:tcPr>
          <w:p>
            <w:pPr>
              <w:spacing w:after="0" w:before="0"/>
              <w:jc w:val="left"/>
            </w:pPr>
            <w:r/>
            <w:r>
              <w:rPr>
                <w:rFonts w:ascii="Times New Roman" w:hAnsi="Times New Roman"/>
                <w:b w:val="0"/>
                <w:color w:val="000000"/>
                <w:sz w:val="16"/>
              </w:rPr>
              <w:t>15.08191</w:t>
            </w:r>
          </w:p>
        </w:tc>
        <w:tc>
          <w:tcPr>
            <w:tcW w:type="dxa" w:w="1440"/>
            <w:vAlign w:val="center"/>
          </w:tcPr>
          <w:p>
            <w:pPr>
              <w:spacing w:after="0" w:before="0"/>
              <w:jc w:val="left"/>
            </w:pPr>
            <w:r/>
            <w:r>
              <w:rPr>
                <w:rFonts w:ascii="Times New Roman" w:hAnsi="Times New Roman"/>
                <w:b w:val="0"/>
                <w:color w:val="000000"/>
                <w:sz w:val="16"/>
              </w:rPr>
              <w:t>-1.3476</w:t>
            </w:r>
          </w:p>
        </w:tc>
      </w:tr>
      <w:tr>
        <w:tc>
          <w:tcPr>
            <w:tcW w:type="dxa" w:w="2448"/>
            <w:vAlign w:val="center"/>
          </w:tcPr>
          <w:p>
            <w:pPr>
              <w:spacing w:after="0" w:before="0"/>
              <w:jc w:val="left"/>
            </w:pPr>
            <w:r/>
            <w:r>
              <w:rPr>
                <w:rFonts w:ascii="Times New Roman" w:hAnsi="Times New Roman"/>
                <w:b w:val="0"/>
                <w:color w:val="000000"/>
                <w:sz w:val="16"/>
              </w:rPr>
              <w:t>Internal Marks</w:t>
            </w:r>
          </w:p>
        </w:tc>
        <w:tc>
          <w:tcPr>
            <w:tcW w:type="dxa" w:w="1152"/>
            <w:vAlign w:val="center"/>
          </w:tcPr>
          <w:p>
            <w:pPr>
              <w:spacing w:after="0" w:before="0"/>
              <w:jc w:val="left"/>
            </w:pPr>
            <w:r/>
            <w:r>
              <w:rPr>
                <w:rFonts w:ascii="Times New Roman" w:hAnsi="Times New Roman"/>
                <w:b w:val="0"/>
                <w:color w:val="000000"/>
                <w:sz w:val="16"/>
              </w:rPr>
              <w:t>42</w:t>
            </w:r>
          </w:p>
        </w:tc>
        <w:tc>
          <w:tcPr>
            <w:tcW w:type="dxa" w:w="1800"/>
            <w:vAlign w:val="center"/>
          </w:tcPr>
          <w:p>
            <w:pPr>
              <w:spacing w:after="0" w:before="0"/>
              <w:jc w:val="left"/>
            </w:pPr>
            <w:r/>
            <w:r>
              <w:rPr>
                <w:rFonts w:ascii="Times New Roman" w:hAnsi="Times New Roman"/>
                <w:b w:val="0"/>
                <w:color w:val="000000"/>
                <w:sz w:val="16"/>
              </w:rPr>
              <w:t>66.32138</w:t>
            </w:r>
          </w:p>
        </w:tc>
        <w:tc>
          <w:tcPr>
            <w:tcW w:type="dxa" w:w="1800"/>
            <w:vAlign w:val="center"/>
          </w:tcPr>
          <w:p>
            <w:pPr>
              <w:spacing w:after="0" w:before="0"/>
              <w:jc w:val="left"/>
            </w:pPr>
            <w:r/>
            <w:r>
              <w:rPr>
                <w:rFonts w:ascii="Times New Roman" w:hAnsi="Times New Roman"/>
                <w:b w:val="0"/>
                <w:color w:val="000000"/>
                <w:sz w:val="16"/>
              </w:rPr>
              <w:t>13.64777</w:t>
            </w:r>
          </w:p>
        </w:tc>
        <w:tc>
          <w:tcPr>
            <w:tcW w:type="dxa" w:w="1440"/>
            <w:vAlign w:val="center"/>
          </w:tcPr>
          <w:p>
            <w:pPr>
              <w:spacing w:after="0" w:before="0"/>
              <w:jc w:val="left"/>
            </w:pPr>
            <w:r/>
            <w:r>
              <w:rPr>
                <w:rFonts w:ascii="Times New Roman" w:hAnsi="Times New Roman"/>
                <w:b w:val="0"/>
                <w:color w:val="000000"/>
                <w:sz w:val="16"/>
              </w:rPr>
              <w:t>-1.7821</w:t>
            </w:r>
          </w:p>
        </w:tc>
      </w:tr>
      <w:tr>
        <w:tc>
          <w:tcPr>
            <w:tcW w:type="dxa" w:w="2448"/>
            <w:vAlign w:val="center"/>
          </w:tcPr>
          <w:p>
            <w:pPr>
              <w:spacing w:after="0" w:before="0"/>
              <w:jc w:val="left"/>
            </w:pPr>
            <w:r/>
            <w:r>
              <w:rPr>
                <w:rFonts w:ascii="Times New Roman" w:hAnsi="Times New Roman"/>
                <w:b w:val="0"/>
                <w:color w:val="000000"/>
                <w:sz w:val="16"/>
              </w:rPr>
              <w:t>Participation Score</w:t>
            </w:r>
          </w:p>
        </w:tc>
        <w:tc>
          <w:tcPr>
            <w:tcW w:type="dxa" w:w="1152"/>
            <w:vAlign w:val="center"/>
          </w:tcPr>
          <w:p>
            <w:pPr>
              <w:spacing w:after="0" w:before="0"/>
              <w:jc w:val="left"/>
            </w:pPr>
            <w:r/>
            <w:r>
              <w:rPr>
                <w:rFonts w:ascii="Times New Roman" w:hAnsi="Times New Roman"/>
                <w:b w:val="0"/>
                <w:color w:val="000000"/>
                <w:sz w:val="16"/>
              </w:rPr>
              <w:t>2</w:t>
            </w:r>
          </w:p>
        </w:tc>
        <w:tc>
          <w:tcPr>
            <w:tcW w:type="dxa" w:w="1800"/>
            <w:vAlign w:val="center"/>
          </w:tcPr>
          <w:p>
            <w:pPr>
              <w:spacing w:after="0" w:before="0"/>
              <w:jc w:val="left"/>
            </w:pPr>
            <w:r/>
            <w:r>
              <w:rPr>
                <w:rFonts w:ascii="Times New Roman" w:hAnsi="Times New Roman"/>
                <w:b w:val="0"/>
                <w:color w:val="000000"/>
                <w:sz w:val="16"/>
              </w:rPr>
              <w:t>5.88125</w:t>
            </w:r>
          </w:p>
        </w:tc>
        <w:tc>
          <w:tcPr>
            <w:tcW w:type="dxa" w:w="1800"/>
            <w:vAlign w:val="center"/>
          </w:tcPr>
          <w:p>
            <w:pPr>
              <w:spacing w:after="0" w:before="0"/>
              <w:jc w:val="left"/>
            </w:pPr>
            <w:r/>
            <w:r>
              <w:rPr>
                <w:rFonts w:ascii="Times New Roman" w:hAnsi="Times New Roman"/>
                <w:b w:val="0"/>
                <w:color w:val="000000"/>
                <w:sz w:val="16"/>
              </w:rPr>
              <w:t>1.95515</w:t>
            </w:r>
          </w:p>
        </w:tc>
        <w:tc>
          <w:tcPr>
            <w:tcW w:type="dxa" w:w="1440"/>
            <w:vAlign w:val="center"/>
          </w:tcPr>
          <w:p>
            <w:pPr>
              <w:spacing w:after="0" w:before="0"/>
              <w:jc w:val="left"/>
            </w:pPr>
            <w:r/>
            <w:r>
              <w:rPr>
                <w:rFonts w:ascii="Times New Roman" w:hAnsi="Times New Roman"/>
                <w:b w:val="0"/>
                <w:color w:val="000000"/>
                <w:sz w:val="16"/>
              </w:rPr>
              <w:t>-1.9851</w:t>
            </w:r>
          </w:p>
        </w:tc>
      </w:tr>
      <w:tr>
        <w:tc>
          <w:tcPr>
            <w:tcW w:type="dxa" w:w="2448"/>
            <w:vAlign w:val="center"/>
          </w:tcPr>
          <w:p>
            <w:pPr>
              <w:spacing w:after="0" w:before="0"/>
              <w:jc w:val="left"/>
            </w:pPr>
            <w:r/>
            <w:r>
              <w:rPr>
                <w:rFonts w:ascii="Times New Roman" w:hAnsi="Times New Roman"/>
                <w:b w:val="0"/>
                <w:color w:val="000000"/>
                <w:sz w:val="16"/>
              </w:rPr>
              <w:t>Backlog Subjects</w:t>
            </w:r>
          </w:p>
        </w:tc>
        <w:tc>
          <w:tcPr>
            <w:tcW w:type="dxa" w:w="1152"/>
            <w:vAlign w:val="center"/>
          </w:tcPr>
          <w:p>
            <w:pPr>
              <w:spacing w:after="0" w:before="0"/>
              <w:jc w:val="left"/>
            </w:pPr>
            <w:r/>
            <w:r>
              <w:rPr>
                <w:rFonts w:ascii="Times New Roman" w:hAnsi="Times New Roman"/>
                <w:b w:val="0"/>
                <w:color w:val="000000"/>
                <w:sz w:val="16"/>
              </w:rPr>
              <w:t>3</w:t>
            </w:r>
          </w:p>
        </w:tc>
        <w:tc>
          <w:tcPr>
            <w:tcW w:type="dxa" w:w="1800"/>
            <w:vAlign w:val="center"/>
          </w:tcPr>
          <w:p>
            <w:pPr>
              <w:spacing w:after="0" w:before="0"/>
              <w:jc w:val="left"/>
            </w:pPr>
            <w:r/>
            <w:r>
              <w:rPr>
                <w:rFonts w:ascii="Times New Roman" w:hAnsi="Times New Roman"/>
                <w:b w:val="0"/>
                <w:color w:val="000000"/>
                <w:sz w:val="16"/>
              </w:rPr>
              <w:t>1.17375</w:t>
            </w:r>
          </w:p>
        </w:tc>
        <w:tc>
          <w:tcPr>
            <w:tcW w:type="dxa" w:w="1800"/>
            <w:vAlign w:val="center"/>
          </w:tcPr>
          <w:p>
            <w:pPr>
              <w:spacing w:after="0" w:before="0"/>
              <w:jc w:val="left"/>
            </w:pPr>
            <w:r/>
            <w:r>
              <w:rPr>
                <w:rFonts w:ascii="Times New Roman" w:hAnsi="Times New Roman"/>
                <w:b w:val="0"/>
                <w:color w:val="000000"/>
                <w:sz w:val="16"/>
              </w:rPr>
              <w:t>1.05998</w:t>
            </w:r>
          </w:p>
        </w:tc>
        <w:tc>
          <w:tcPr>
            <w:tcW w:type="dxa" w:w="1440"/>
            <w:vAlign w:val="center"/>
          </w:tcPr>
          <w:p>
            <w:pPr>
              <w:spacing w:after="0" w:before="0"/>
              <w:jc w:val="left"/>
            </w:pPr>
            <w:r/>
            <w:r>
              <w:rPr>
                <w:rFonts w:ascii="Times New Roman" w:hAnsi="Times New Roman"/>
                <w:b w:val="0"/>
                <w:color w:val="000000"/>
                <w:sz w:val="16"/>
              </w:rPr>
              <w:t>1.7229</w:t>
            </w:r>
          </w:p>
        </w:tc>
      </w:tr>
    </w:tbl>
    <w:p>
      <w:pPr>
        <w:spacing w:after="20"/>
      </w:pPr>
    </w:p>
    <w:p>
      <w:pPr>
        <w:keepNext/>
        <w:spacing w:before="120" w:after="60"/>
      </w:pPr>
      <w:r>
        <w:rPr>
          <w:rFonts w:ascii="Times New Roman" w:hAnsi="Times New Roman"/>
          <w:b/>
          <w:color w:val="000000"/>
          <w:sz w:val="24"/>
        </w:rPr>
        <w:t>Weighted Sum</w:t>
      </w:r>
    </w:p>
    <w:p>
      <w:pPr>
        <w:spacing w:before="0" w:after="80" w:line="259" w:lineRule="auto"/>
        <w:jc w:val="left"/>
      </w:pPr>
      <w:r>
        <w:rPr>
          <w:rFonts w:ascii="Times New Roman" w:hAnsi="Times New Roman"/>
          <w:i w:val="0"/>
          <w:color w:val="000000"/>
          <w:sz w:val="19"/>
        </w:rPr>
        <w:t>z = 0.05145 + (-1.26624 × -1.7145) + (-0.91054 × -1.2349) + (-0.65599 × -1.3476) + (-0.90048 × -1.7821) + (-0.44002 × -1.9851) + (1.34537 × 1.7229)</w:t>
      </w:r>
    </w:p>
    <w:p>
      <w:pPr>
        <w:spacing w:before="60" w:after="100"/>
        <w:jc w:val="center"/>
      </w:pPr>
      <w:r>
        <w:rPr>
          <w:rFonts w:ascii="Times New Roman" w:hAnsi="Times New Roman"/>
          <w:b/>
          <w:color w:val="000000"/>
          <w:sz w:val="22"/>
        </w:rPr>
        <w:t>z ≈ 9.0271</w:t>
      </w:r>
    </w:p>
    <w:p>
      <w:pPr>
        <w:keepNext/>
        <w:spacing w:before="120" w:after="60"/>
      </w:pPr>
      <w:r>
        <w:rPr>
          <w:rFonts w:ascii="Times New Roman" w:hAnsi="Times New Roman"/>
          <w:b/>
          <w:color w:val="000000"/>
          <w:sz w:val="24"/>
        </w:rPr>
        <w:t>Sigmoid Probability and Decision</w:t>
      </w:r>
    </w:p>
    <w:p>
      <w:pPr>
        <w:spacing w:before="60" w:after="100"/>
        <w:jc w:val="center"/>
      </w:pPr>
      <w:r>
        <w:rPr>
          <w:rFonts w:ascii="Times New Roman" w:hAnsi="Times New Roman"/>
          <w:b/>
          <w:color w:val="000000"/>
          <w:sz w:val="22"/>
        </w:rPr>
        <w:t>P(At Risk) = 1 / (1 + e^(−9.0271)) ≈ 0.99988 = 99.99%</w:t>
      </w:r>
    </w:p>
    <w:p>
      <w:pPr>
        <w:spacing w:before="60" w:after="100"/>
        <w:jc w:val="center"/>
      </w:pPr>
      <w:r>
        <w:rPr>
          <w:rFonts w:ascii="Times New Roman" w:hAnsi="Times New Roman"/>
          <w:b/>
          <w:color w:val="000000"/>
          <w:sz w:val="22"/>
        </w:rPr>
        <w:t>P(At Risk) ≥ 0.50  →  Prediction = YES (At Risk)</w:t>
      </w:r>
    </w:p>
    <w:p>
      <w:pPr>
        <w:spacing w:before="0" w:after="60" w:line="259" w:lineRule="auto"/>
        <w:jc w:val="both"/>
      </w:pPr>
      <w:r>
        <w:rPr>
          <w:rFonts w:ascii="Times New Roman" w:hAnsi="Times New Roman"/>
          <w:i w:val="0"/>
          <w:color w:val="000000"/>
          <w:sz w:val="20"/>
        </w:rPr>
        <w:t>This calculation shows the complete prediction path: raw inputs → StandardScaler → learned coefficients and intercept → weighted sum → sigmoid probability → 0.50 threshold → binary result.</w:t>
      </w:r>
    </w:p>
    <w:p>
      <w:pPr>
        <w:keepNext/>
        <w:pageBreakBefore/>
        <w:spacing w:before="0" w:after="140"/>
        <w:jc w:val="left"/>
      </w:pPr>
      <w:r>
        <w:rPr>
          <w:rFonts w:ascii="Times New Roman" w:hAnsi="Times New Roman"/>
          <w:b/>
          <w:color w:val="000000"/>
          <w:sz w:val="28"/>
        </w:rPr>
        <w:t>6. RESULTS AND GRAPHS</w:t>
      </w:r>
    </w:p>
    <w:p>
      <w:pPr>
        <w:spacing w:before="0" w:after="100" w:line="259" w:lineRule="auto"/>
        <w:jc w:val="both"/>
      </w:pPr>
      <w:r>
        <w:rPr>
          <w:rFonts w:ascii="Times New Roman" w:hAnsi="Times New Roman"/>
          <w:i w:val="0"/>
          <w:color w:val="000000"/>
          <w:sz w:val="21"/>
        </w:rPr>
        <w:t>The model is evaluated on the held-out 20% test split (200 records). All numbers and plots below are produced by the fixed stratified split with random_state = 42 and the trained Logistic Regression pipeline.</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1800"/>
            <w:vAlign w:val="center"/>
            <w:shd w:fill="D9EAF7"/>
          </w:tcPr>
          <w:p>
            <w:pPr>
              <w:spacing w:after="0" w:before="0"/>
              <w:jc w:val="center"/>
            </w:pPr>
            <w:r/>
            <w:r>
              <w:rPr>
                <w:rFonts w:ascii="Times New Roman" w:hAnsi="Times New Roman"/>
                <w:b/>
                <w:color w:val="000000"/>
                <w:sz w:val="18"/>
              </w:rPr>
              <w:t>Metric</w:t>
            </w:r>
          </w:p>
        </w:tc>
        <w:tc>
          <w:tcPr>
            <w:tcW w:type="dxa" w:w="4752"/>
            <w:vAlign w:val="center"/>
            <w:shd w:fill="D9EAF7"/>
          </w:tcPr>
          <w:p>
            <w:pPr>
              <w:spacing w:after="0" w:before="0"/>
              <w:jc w:val="center"/>
            </w:pPr>
            <w:r/>
            <w:r>
              <w:rPr>
                <w:rFonts w:ascii="Times New Roman" w:hAnsi="Times New Roman"/>
                <w:b/>
                <w:color w:val="000000"/>
                <w:sz w:val="18"/>
              </w:rPr>
              <w:t>Formula / meaning</w:t>
            </w:r>
          </w:p>
        </w:tc>
        <w:tc>
          <w:tcPr>
            <w:tcW w:type="dxa" w:w="2088"/>
            <w:vAlign w:val="center"/>
            <w:shd w:fill="D9EAF7"/>
          </w:tcPr>
          <w:p>
            <w:pPr>
              <w:spacing w:after="0" w:before="0"/>
              <w:jc w:val="center"/>
            </w:pPr>
            <w:r/>
            <w:r>
              <w:rPr>
                <w:rFonts w:ascii="Times New Roman" w:hAnsi="Times New Roman"/>
                <w:b/>
                <w:color w:val="000000"/>
                <w:sz w:val="18"/>
              </w:rPr>
              <w:t>Observed result</w:t>
            </w:r>
          </w:p>
        </w:tc>
      </w:tr>
      <w:tr>
        <w:tc>
          <w:tcPr>
            <w:tcW w:type="dxa" w:w="1800"/>
            <w:vAlign w:val="center"/>
          </w:tcPr>
          <w:p>
            <w:pPr>
              <w:spacing w:after="0" w:before="0"/>
              <w:jc w:val="left"/>
            </w:pPr>
            <w:r/>
            <w:r>
              <w:rPr>
                <w:rFonts w:ascii="Times New Roman" w:hAnsi="Times New Roman"/>
                <w:b w:val="0"/>
                <w:color w:val="000000"/>
                <w:sz w:val="18"/>
              </w:rPr>
              <w:t>Accuracy</w:t>
            </w:r>
          </w:p>
        </w:tc>
        <w:tc>
          <w:tcPr>
            <w:tcW w:type="dxa" w:w="4752"/>
            <w:vAlign w:val="center"/>
          </w:tcPr>
          <w:p>
            <w:pPr>
              <w:spacing w:after="0" w:before="0"/>
              <w:jc w:val="left"/>
            </w:pPr>
            <w:r/>
            <w:r>
              <w:rPr>
                <w:rFonts w:ascii="Times New Roman" w:hAnsi="Times New Roman"/>
                <w:b w:val="0"/>
                <w:color w:val="000000"/>
                <w:sz w:val="18"/>
              </w:rPr>
              <w:t>(TP + TN) / Total</w:t>
            </w:r>
          </w:p>
        </w:tc>
        <w:tc>
          <w:tcPr>
            <w:tcW w:type="dxa" w:w="2088"/>
            <w:vAlign w:val="center"/>
          </w:tcPr>
          <w:p>
            <w:pPr>
              <w:spacing w:after="0" w:before="0"/>
              <w:jc w:val="left"/>
            </w:pPr>
            <w:r/>
            <w:r>
              <w:rPr>
                <w:rFonts w:ascii="Times New Roman" w:hAnsi="Times New Roman"/>
                <w:b w:val="0"/>
                <w:color w:val="000000"/>
                <w:sz w:val="18"/>
              </w:rPr>
              <w:t>88.50%</w:t>
            </w:r>
          </w:p>
        </w:tc>
      </w:tr>
      <w:tr>
        <w:tc>
          <w:tcPr>
            <w:tcW w:type="dxa" w:w="1800"/>
            <w:vAlign w:val="center"/>
          </w:tcPr>
          <w:p>
            <w:pPr>
              <w:spacing w:after="0" w:before="0"/>
              <w:jc w:val="left"/>
            </w:pPr>
            <w:r/>
            <w:r>
              <w:rPr>
                <w:rFonts w:ascii="Times New Roman" w:hAnsi="Times New Roman"/>
                <w:b w:val="0"/>
                <w:color w:val="000000"/>
                <w:sz w:val="18"/>
              </w:rPr>
              <w:t>Precision</w:t>
            </w:r>
          </w:p>
        </w:tc>
        <w:tc>
          <w:tcPr>
            <w:tcW w:type="dxa" w:w="4752"/>
            <w:vAlign w:val="center"/>
          </w:tcPr>
          <w:p>
            <w:pPr>
              <w:spacing w:after="0" w:before="0"/>
              <w:jc w:val="left"/>
            </w:pPr>
            <w:r/>
            <w:r>
              <w:rPr>
                <w:rFonts w:ascii="Times New Roman" w:hAnsi="Times New Roman"/>
                <w:b w:val="0"/>
                <w:color w:val="000000"/>
                <w:sz w:val="18"/>
              </w:rPr>
              <w:t>TP / (TP + FP)</w:t>
            </w:r>
          </w:p>
        </w:tc>
        <w:tc>
          <w:tcPr>
            <w:tcW w:type="dxa" w:w="2088"/>
            <w:vAlign w:val="center"/>
          </w:tcPr>
          <w:p>
            <w:pPr>
              <w:spacing w:after="0" w:before="0"/>
              <w:jc w:val="left"/>
            </w:pPr>
            <w:r/>
            <w:r>
              <w:rPr>
                <w:rFonts w:ascii="Times New Roman" w:hAnsi="Times New Roman"/>
                <w:b w:val="0"/>
                <w:color w:val="000000"/>
                <w:sz w:val="18"/>
              </w:rPr>
              <w:t>87.38%</w:t>
            </w:r>
          </w:p>
        </w:tc>
      </w:tr>
      <w:tr>
        <w:tc>
          <w:tcPr>
            <w:tcW w:type="dxa" w:w="1800"/>
            <w:vAlign w:val="center"/>
          </w:tcPr>
          <w:p>
            <w:pPr>
              <w:spacing w:after="0" w:before="0"/>
              <w:jc w:val="left"/>
            </w:pPr>
            <w:r/>
            <w:r>
              <w:rPr>
                <w:rFonts w:ascii="Times New Roman" w:hAnsi="Times New Roman"/>
                <w:b w:val="0"/>
                <w:color w:val="000000"/>
                <w:sz w:val="18"/>
              </w:rPr>
              <w:t>Recall</w:t>
            </w:r>
          </w:p>
        </w:tc>
        <w:tc>
          <w:tcPr>
            <w:tcW w:type="dxa" w:w="4752"/>
            <w:vAlign w:val="center"/>
          </w:tcPr>
          <w:p>
            <w:pPr>
              <w:spacing w:after="0" w:before="0"/>
              <w:jc w:val="left"/>
            </w:pPr>
            <w:r/>
            <w:r>
              <w:rPr>
                <w:rFonts w:ascii="Times New Roman" w:hAnsi="Times New Roman"/>
                <w:b w:val="0"/>
                <w:color w:val="000000"/>
                <w:sz w:val="18"/>
              </w:rPr>
              <w:t>TP / (TP + FN)</w:t>
            </w:r>
          </w:p>
        </w:tc>
        <w:tc>
          <w:tcPr>
            <w:tcW w:type="dxa" w:w="2088"/>
            <w:vAlign w:val="center"/>
          </w:tcPr>
          <w:p>
            <w:pPr>
              <w:spacing w:after="0" w:before="0"/>
              <w:jc w:val="left"/>
            </w:pPr>
            <w:r/>
            <w:r>
              <w:rPr>
                <w:rFonts w:ascii="Times New Roman" w:hAnsi="Times New Roman"/>
                <w:b w:val="0"/>
                <w:color w:val="000000"/>
                <w:sz w:val="18"/>
              </w:rPr>
              <w:t>90.00%</w:t>
            </w:r>
          </w:p>
        </w:tc>
      </w:tr>
      <w:tr>
        <w:tc>
          <w:tcPr>
            <w:tcW w:type="dxa" w:w="1800"/>
            <w:vAlign w:val="center"/>
          </w:tcPr>
          <w:p>
            <w:pPr>
              <w:spacing w:after="0" w:before="0"/>
              <w:jc w:val="left"/>
            </w:pPr>
            <w:r/>
            <w:r>
              <w:rPr>
                <w:rFonts w:ascii="Times New Roman" w:hAnsi="Times New Roman"/>
                <w:b w:val="0"/>
                <w:color w:val="000000"/>
                <w:sz w:val="18"/>
              </w:rPr>
              <w:t>F1-score</w:t>
            </w:r>
          </w:p>
        </w:tc>
        <w:tc>
          <w:tcPr>
            <w:tcW w:type="dxa" w:w="4752"/>
            <w:vAlign w:val="center"/>
          </w:tcPr>
          <w:p>
            <w:pPr>
              <w:spacing w:after="0" w:before="0"/>
              <w:jc w:val="left"/>
            </w:pPr>
            <w:r/>
            <w:r>
              <w:rPr>
                <w:rFonts w:ascii="Times New Roman" w:hAnsi="Times New Roman"/>
                <w:b w:val="0"/>
                <w:color w:val="000000"/>
                <w:sz w:val="18"/>
              </w:rPr>
              <w:t>2 × Precision × Recall / (Precision + Recall)</w:t>
            </w:r>
          </w:p>
        </w:tc>
        <w:tc>
          <w:tcPr>
            <w:tcW w:type="dxa" w:w="2088"/>
            <w:vAlign w:val="center"/>
          </w:tcPr>
          <w:p>
            <w:pPr>
              <w:spacing w:after="0" w:before="0"/>
              <w:jc w:val="left"/>
            </w:pPr>
            <w:r/>
            <w:r>
              <w:rPr>
                <w:rFonts w:ascii="Times New Roman" w:hAnsi="Times New Roman"/>
                <w:b w:val="0"/>
                <w:color w:val="000000"/>
                <w:sz w:val="18"/>
              </w:rPr>
              <w:t>88.67%</w:t>
            </w:r>
          </w:p>
        </w:tc>
      </w:tr>
    </w:tbl>
    <w:p>
      <w:pPr>
        <w:spacing w:after="20"/>
      </w:pPr>
    </w:p>
    <w:p>
      <w:pPr>
        <w:keepNext/>
        <w:spacing w:before="120" w:after="60"/>
      </w:pPr>
      <w:r>
        <w:rPr>
          <w:rFonts w:ascii="Times New Roman" w:hAnsi="Times New Roman"/>
          <w:b/>
          <w:color w:val="000000"/>
          <w:sz w:val="24"/>
        </w:rPr>
        <w:t>Confusion Matrix and Performance Metrics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536"/>
            <w:vAlign w:val="top"/>
          </w:tcPr>
          <w:p>
            <w:pPr>
              <w:spacing w:after="20"/>
              <w:jc w:val="center"/>
            </w:pPr>
            <w:r>
              <w:drawing>
                <wp:inline xmlns:a="http://schemas.openxmlformats.org/drawingml/2006/main" xmlns:pic="http://schemas.openxmlformats.org/drawingml/2006/picture">
                  <wp:extent cx="2743200" cy="2289799"/>
                  <wp:docPr id="1706160799" name="Picture 1706160799"/>
                  <wp:cNvGraphicFramePr>
                    <a:graphicFrameLocks noChangeAspect="1"/>
                  </wp:cNvGraphicFramePr>
                  <a:graphic>
                    <a:graphicData uri="http://schemas.openxmlformats.org/drawingml/2006/picture">
                      <pic:pic>
                        <pic:nvPicPr>
                          <pic:cNvPr id="0" name="fig5_confusion_matrix.png"/>
                          <pic:cNvPicPr/>
                        </pic:nvPicPr>
                        <pic:blipFill>
                          <a:blip r:embed="rId14"/>
                          <a:stretch>
                            <a:fillRect/>
                          </a:stretch>
                        </pic:blipFill>
                        <pic:spPr>
                          <a:xfrm>
                            <a:off x="0" y="0"/>
                            <a:ext cx="2743200" cy="2289799"/>
                          </a:xfrm>
                          <a:prstGeom prst="rect"/>
                        </pic:spPr>
                      </pic:pic>
                    </a:graphicData>
                  </a:graphic>
                </wp:inline>
              </w:drawing>
            </w:r>
          </w:p>
          <w:p>
            <w:pPr>
              <w:spacing w:before="0" w:after="40"/>
              <w:jc w:val="center"/>
            </w:pPr>
            <w:r>
              <w:rPr>
                <w:rFonts w:ascii="Times New Roman" w:hAnsi="Times New Roman"/>
                <w:i/>
                <w:color w:val="374150"/>
                <w:sz w:val="16"/>
              </w:rPr>
              <w:t>Figure 5. Confusion matrix: TN = 87, FP = 13, FN = 10, TP = 90.</w:t>
            </w:r>
          </w:p>
        </w:tc>
        <w:tc>
          <w:tcPr>
            <w:tcW w:type="dxa" w:w="4536"/>
            <w:vAlign w:val="top"/>
          </w:tcPr>
          <w:p>
            <w:pPr>
              <w:spacing w:after="20"/>
              <w:jc w:val="center"/>
            </w:pPr>
            <w:r>
              <w:drawing>
                <wp:inline xmlns:a="http://schemas.openxmlformats.org/drawingml/2006/main" xmlns:pic="http://schemas.openxmlformats.org/drawingml/2006/picture">
                  <wp:extent cx="2743200" cy="1631418"/>
                  <wp:docPr id="1706160800" name="Picture 1706160800"/>
                  <wp:cNvGraphicFramePr>
                    <a:graphicFrameLocks noChangeAspect="1"/>
                  </wp:cNvGraphicFramePr>
                  <a:graphic>
                    <a:graphicData uri="http://schemas.openxmlformats.org/drawingml/2006/picture">
                      <pic:pic>
                        <pic:nvPicPr>
                          <pic:cNvPr id="0" name="fig6_metric_comparison.png"/>
                          <pic:cNvPicPr/>
                        </pic:nvPicPr>
                        <pic:blipFill>
                          <a:blip r:embed="rId15"/>
                          <a:stretch>
                            <a:fillRect/>
                          </a:stretch>
                        </pic:blipFill>
                        <pic:spPr>
                          <a:xfrm>
                            <a:off x="0" y="0"/>
                            <a:ext cx="2743200" cy="1631418"/>
                          </a:xfrm>
                          <a:prstGeom prst="rect"/>
                        </pic:spPr>
                      </pic:pic>
                    </a:graphicData>
                  </a:graphic>
                </wp:inline>
              </w:drawing>
            </w:r>
          </w:p>
          <w:p>
            <w:pPr>
              <w:spacing w:before="0" w:after="40"/>
              <w:jc w:val="center"/>
            </w:pPr>
            <w:r>
              <w:rPr>
                <w:rFonts w:ascii="Times New Roman" w:hAnsi="Times New Roman"/>
                <w:i/>
                <w:color w:val="374150"/>
                <w:sz w:val="16"/>
              </w:rPr>
              <w:t>Figure 6. Accuracy, precision, recall, and F1-score on the synthetic test split.</w:t>
            </w:r>
          </w:p>
        </w:tc>
      </w:tr>
    </w:tbl>
    <w:p>
      <w:pPr>
        <w:spacing w:after="20"/>
      </w:pPr>
    </w:p>
    <w:p>
      <w:pPr>
        <w:spacing w:before="0" w:after="40" w:line="259" w:lineRule="auto"/>
        <w:jc w:val="both"/>
      </w:pPr>
      <w:r>
        <w:rPr>
          <w:rFonts w:ascii="Times New Roman" w:hAnsi="Times New Roman"/>
          <w:i w:val="0"/>
          <w:color w:val="000000"/>
          <w:sz w:val="19"/>
        </w:rPr>
        <w:t>The model correctly classified 87 Not-At-Risk records (true negatives) and 90 At-Risk records (true positives). It produced 13 false positives and 10 false negatives. Thus, 177 of 200 records were classified correctly, giving 88.50% accuracy. Recall is particularly relevant for an early-warning use case because false negatives represent At-Risk-labelled records that the model predicts as Not At Risk. Precision also matters because false positives can trigger unnecessary follow-up. These results require validation on suitable real/public data before operational use.</w:t>
      </w:r>
    </w:p>
    <w:p>
      <w:pPr>
        <w:keepNext/>
        <w:pageBreakBefore/>
        <w:spacing w:before="0" w:after="140"/>
        <w:jc w:val="left"/>
      </w:pPr>
      <w:r>
        <w:rPr>
          <w:rFonts w:ascii="Times New Roman" w:hAnsi="Times New Roman"/>
          <w:b/>
          <w:color w:val="000000"/>
          <w:sz w:val="28"/>
        </w:rPr>
        <w:t>6.1 MODEL COEFFICIENTS AND INTERPRETATION</w:t>
      </w:r>
    </w:p>
    <w:tbl>
      <w:tblPr>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680"/>
        <w:gridCol w:w="4680"/>
      </w:tblGrid>
      <w:tr>
        <w:tc>
          <w:tcPr>
            <w:tcW w:type="dxa" w:w="5328"/>
            <w:vAlign w:val="center"/>
            <w:shd w:fill="D9EAF7"/>
          </w:tcPr>
          <w:p>
            <w:pPr>
              <w:spacing w:after="0" w:before="0"/>
              <w:jc w:val="center"/>
            </w:pPr>
            <w:r/>
            <w:r>
              <w:rPr>
                <w:rFonts w:ascii="Times New Roman" w:hAnsi="Times New Roman"/>
                <w:b/>
                <w:color w:val="000000"/>
                <w:sz w:val="18"/>
              </w:rPr>
              <w:t>Model parameter</w:t>
            </w:r>
          </w:p>
        </w:tc>
        <w:tc>
          <w:tcPr>
            <w:tcW w:type="dxa" w:w="3168"/>
            <w:vAlign w:val="center"/>
            <w:shd w:fill="D9EAF7"/>
          </w:tcPr>
          <w:p>
            <w:pPr>
              <w:spacing w:after="0" w:before="0"/>
              <w:jc w:val="center"/>
            </w:pPr>
            <w:r/>
            <w:r>
              <w:rPr>
                <w:rFonts w:ascii="Times New Roman" w:hAnsi="Times New Roman"/>
                <w:b/>
                <w:color w:val="000000"/>
                <w:sz w:val="18"/>
              </w:rPr>
              <w:t>Learned value</w:t>
            </w:r>
          </w:p>
        </w:tc>
      </w:tr>
      <w:tr>
        <w:tc>
          <w:tcPr>
            <w:tcW w:type="dxa" w:w="5328"/>
            <w:vAlign w:val="center"/>
          </w:tcPr>
          <w:p>
            <w:pPr>
              <w:spacing w:after="0" w:before="0"/>
              <w:jc w:val="left"/>
            </w:pPr>
            <w:r/>
            <w:r>
              <w:rPr>
                <w:rFonts w:ascii="Times New Roman" w:hAnsi="Times New Roman"/>
                <w:b w:val="0"/>
                <w:color w:val="000000"/>
                <w:sz w:val="18"/>
              </w:rPr>
              <w:t>Attendance Percentage</w:t>
            </w:r>
          </w:p>
        </w:tc>
        <w:tc>
          <w:tcPr>
            <w:tcW w:type="dxa" w:w="3168"/>
            <w:vAlign w:val="center"/>
          </w:tcPr>
          <w:p>
            <w:pPr>
              <w:spacing w:after="0" w:before="0"/>
              <w:jc w:val="left"/>
            </w:pPr>
            <w:r/>
            <w:r>
              <w:rPr>
                <w:rFonts w:ascii="Times New Roman" w:hAnsi="Times New Roman"/>
                <w:b w:val="0"/>
                <w:color w:val="000000"/>
                <w:sz w:val="18"/>
              </w:rPr>
              <w:t>-1.26624</w:t>
            </w:r>
          </w:p>
        </w:tc>
      </w:tr>
      <w:tr>
        <w:tc>
          <w:tcPr>
            <w:tcW w:type="dxa" w:w="5328"/>
            <w:vAlign w:val="center"/>
          </w:tcPr>
          <w:p>
            <w:pPr>
              <w:spacing w:after="0" w:before="0"/>
              <w:jc w:val="left"/>
            </w:pPr>
            <w:r/>
            <w:r>
              <w:rPr>
                <w:rFonts w:ascii="Times New Roman" w:hAnsi="Times New Roman"/>
                <w:b w:val="0"/>
                <w:color w:val="000000"/>
                <w:sz w:val="18"/>
              </w:rPr>
              <w:t>Previous Grades</w:t>
            </w:r>
          </w:p>
        </w:tc>
        <w:tc>
          <w:tcPr>
            <w:tcW w:type="dxa" w:w="3168"/>
            <w:vAlign w:val="center"/>
          </w:tcPr>
          <w:p>
            <w:pPr>
              <w:spacing w:after="0" w:before="0"/>
              <w:jc w:val="left"/>
            </w:pPr>
            <w:r/>
            <w:r>
              <w:rPr>
                <w:rFonts w:ascii="Times New Roman" w:hAnsi="Times New Roman"/>
                <w:b w:val="0"/>
                <w:color w:val="000000"/>
                <w:sz w:val="18"/>
              </w:rPr>
              <w:t>-0.91054</w:t>
            </w:r>
          </w:p>
        </w:tc>
      </w:tr>
      <w:tr>
        <w:tc>
          <w:tcPr>
            <w:tcW w:type="dxa" w:w="5328"/>
            <w:vAlign w:val="center"/>
          </w:tcPr>
          <w:p>
            <w:pPr>
              <w:spacing w:after="0" w:before="0"/>
              <w:jc w:val="left"/>
            </w:pPr>
            <w:r/>
            <w:r>
              <w:rPr>
                <w:rFonts w:ascii="Times New Roman" w:hAnsi="Times New Roman"/>
                <w:b w:val="0"/>
                <w:color w:val="000000"/>
                <w:sz w:val="18"/>
              </w:rPr>
              <w:t>Assignment Performance</w:t>
            </w:r>
          </w:p>
        </w:tc>
        <w:tc>
          <w:tcPr>
            <w:tcW w:type="dxa" w:w="3168"/>
            <w:vAlign w:val="center"/>
          </w:tcPr>
          <w:p>
            <w:pPr>
              <w:spacing w:after="0" w:before="0"/>
              <w:jc w:val="left"/>
            </w:pPr>
            <w:r/>
            <w:r>
              <w:rPr>
                <w:rFonts w:ascii="Times New Roman" w:hAnsi="Times New Roman"/>
                <w:b w:val="0"/>
                <w:color w:val="000000"/>
                <w:sz w:val="18"/>
              </w:rPr>
              <w:t>-0.65599</w:t>
            </w:r>
          </w:p>
        </w:tc>
      </w:tr>
      <w:tr>
        <w:tc>
          <w:tcPr>
            <w:tcW w:type="dxa" w:w="5328"/>
            <w:vAlign w:val="center"/>
          </w:tcPr>
          <w:p>
            <w:pPr>
              <w:spacing w:after="0" w:before="0"/>
              <w:jc w:val="left"/>
            </w:pPr>
            <w:r/>
            <w:r>
              <w:rPr>
                <w:rFonts w:ascii="Times New Roman" w:hAnsi="Times New Roman"/>
                <w:b w:val="0"/>
                <w:color w:val="000000"/>
                <w:sz w:val="18"/>
              </w:rPr>
              <w:t>Internal Marks</w:t>
            </w:r>
          </w:p>
        </w:tc>
        <w:tc>
          <w:tcPr>
            <w:tcW w:type="dxa" w:w="3168"/>
            <w:vAlign w:val="center"/>
          </w:tcPr>
          <w:p>
            <w:pPr>
              <w:spacing w:after="0" w:before="0"/>
              <w:jc w:val="left"/>
            </w:pPr>
            <w:r/>
            <w:r>
              <w:rPr>
                <w:rFonts w:ascii="Times New Roman" w:hAnsi="Times New Roman"/>
                <w:b w:val="0"/>
                <w:color w:val="000000"/>
                <w:sz w:val="18"/>
              </w:rPr>
              <w:t>-0.90048</w:t>
            </w:r>
          </w:p>
        </w:tc>
      </w:tr>
      <w:tr>
        <w:tc>
          <w:tcPr>
            <w:tcW w:type="dxa" w:w="5328"/>
            <w:vAlign w:val="center"/>
          </w:tcPr>
          <w:p>
            <w:pPr>
              <w:spacing w:after="0" w:before="0"/>
              <w:jc w:val="left"/>
            </w:pPr>
            <w:r/>
            <w:r>
              <w:rPr>
                <w:rFonts w:ascii="Times New Roman" w:hAnsi="Times New Roman"/>
                <w:b w:val="0"/>
                <w:color w:val="000000"/>
                <w:sz w:val="18"/>
              </w:rPr>
              <w:t>Participation Score</w:t>
            </w:r>
          </w:p>
        </w:tc>
        <w:tc>
          <w:tcPr>
            <w:tcW w:type="dxa" w:w="3168"/>
            <w:vAlign w:val="center"/>
          </w:tcPr>
          <w:p>
            <w:pPr>
              <w:spacing w:after="0" w:before="0"/>
              <w:jc w:val="left"/>
            </w:pPr>
            <w:r/>
            <w:r>
              <w:rPr>
                <w:rFonts w:ascii="Times New Roman" w:hAnsi="Times New Roman"/>
                <w:b w:val="0"/>
                <w:color w:val="000000"/>
                <w:sz w:val="18"/>
              </w:rPr>
              <w:t>-0.44002</w:t>
            </w:r>
          </w:p>
        </w:tc>
      </w:tr>
      <w:tr>
        <w:tc>
          <w:tcPr>
            <w:tcW w:type="dxa" w:w="5328"/>
            <w:vAlign w:val="center"/>
          </w:tcPr>
          <w:p>
            <w:pPr>
              <w:spacing w:after="0" w:before="0"/>
              <w:jc w:val="left"/>
            </w:pPr>
            <w:r/>
            <w:r>
              <w:rPr>
                <w:rFonts w:ascii="Times New Roman" w:hAnsi="Times New Roman"/>
                <w:b w:val="0"/>
                <w:color w:val="000000"/>
                <w:sz w:val="18"/>
              </w:rPr>
              <w:t>Backlog Subjects</w:t>
            </w:r>
          </w:p>
        </w:tc>
        <w:tc>
          <w:tcPr>
            <w:tcW w:type="dxa" w:w="3168"/>
            <w:vAlign w:val="center"/>
          </w:tcPr>
          <w:p>
            <w:pPr>
              <w:spacing w:after="0" w:before="0"/>
              <w:jc w:val="left"/>
            </w:pPr>
            <w:r/>
            <w:r>
              <w:rPr>
                <w:rFonts w:ascii="Times New Roman" w:hAnsi="Times New Roman"/>
                <w:b w:val="0"/>
                <w:color w:val="000000"/>
                <w:sz w:val="18"/>
              </w:rPr>
              <w:t>+1.34537</w:t>
            </w:r>
          </w:p>
        </w:tc>
      </w:tr>
      <w:tr>
        <w:tc>
          <w:tcPr>
            <w:tcW w:type="dxa" w:w="5328"/>
            <w:vAlign w:val="center"/>
          </w:tcPr>
          <w:p>
            <w:pPr>
              <w:spacing w:after="0" w:before="0"/>
              <w:jc w:val="left"/>
            </w:pPr>
            <w:r/>
            <w:r>
              <w:rPr>
                <w:rFonts w:ascii="Times New Roman" w:hAnsi="Times New Roman"/>
                <w:b w:val="0"/>
                <w:color w:val="000000"/>
                <w:sz w:val="18"/>
              </w:rPr>
              <w:t>Intercept</w:t>
            </w:r>
          </w:p>
        </w:tc>
        <w:tc>
          <w:tcPr>
            <w:tcW w:type="dxa" w:w="3168"/>
            <w:vAlign w:val="center"/>
          </w:tcPr>
          <w:p>
            <w:pPr>
              <w:spacing w:after="0" w:before="0"/>
              <w:jc w:val="left"/>
            </w:pPr>
            <w:r/>
            <w:r>
              <w:rPr>
                <w:rFonts w:ascii="Times New Roman" w:hAnsi="Times New Roman"/>
                <w:b w:val="0"/>
                <w:color w:val="000000"/>
                <w:sz w:val="18"/>
              </w:rPr>
              <w:t>+0.05145</w:t>
            </w:r>
          </w:p>
        </w:tc>
      </w:tr>
    </w:tbl>
    <w:p>
      <w:pPr>
        <w:spacing w:after="20"/>
      </w:pPr>
    </w:p>
    <w:p>
      <w:pPr>
        <w:keepNext/>
        <w:spacing w:before="40" w:after="0"/>
        <w:jc w:val="center"/>
      </w:pPr>
      <w:r>
        <w:drawing>
          <wp:inline xmlns:a="http://schemas.openxmlformats.org/drawingml/2006/main" xmlns:pic="http://schemas.openxmlformats.org/drawingml/2006/picture">
            <wp:extent cx="5212080" cy="3424974"/>
            <wp:docPr id="1706160801" name="Picture 1706160801"/>
            <wp:cNvGraphicFramePr>
              <a:graphicFrameLocks noChangeAspect="1"/>
            </wp:cNvGraphicFramePr>
            <a:graphic>
              <a:graphicData uri="http://schemas.openxmlformats.org/drawingml/2006/picture">
                <pic:pic>
                  <pic:nvPicPr>
                    <pic:cNvPr id="0" name="fig7_coefficients.png"/>
                    <pic:cNvPicPr/>
                  </pic:nvPicPr>
                  <pic:blipFill>
                    <a:blip r:embed="rId16"/>
                    <a:stretch>
                      <a:fillRect/>
                    </a:stretch>
                  </pic:blipFill>
                  <pic:spPr>
                    <a:xfrm>
                      <a:off x="0" y="0"/>
                      <a:ext cx="5212080" cy="3424974"/>
                    </a:xfrm>
                    <a:prstGeom prst="rect"/>
                  </pic:spPr>
                </pic:pic>
              </a:graphicData>
            </a:graphic>
          </wp:inline>
        </w:drawing>
      </w:r>
    </w:p>
    <w:p>
      <w:pPr>
        <w:keepLines/>
        <w:spacing w:before="0" w:after="120"/>
        <w:jc w:val="center"/>
      </w:pPr>
      <w:r>
        <w:rPr>
          <w:rFonts w:ascii="Times New Roman" w:hAnsi="Times New Roman"/>
          <w:i/>
          <w:color w:val="374150"/>
          <w:sz w:val="18"/>
        </w:rPr>
        <w:t>Figure 7. Learned Logistic Regression coefficients for the standardized input features.</w:t>
      </w:r>
    </w:p>
    <w:p>
      <w:pPr>
        <w:spacing w:before="0" w:after="80" w:line="259" w:lineRule="auto"/>
        <w:jc w:val="both"/>
      </w:pPr>
      <w:r>
        <w:rPr>
          <w:rFonts w:ascii="Times New Roman" w:hAnsi="Times New Roman"/>
          <w:i w:val="0"/>
          <w:color w:val="000000"/>
          <w:sz w:val="20"/>
        </w:rPr>
        <w:t>Positive coefficients indicate that higher values of the corresponding standardized feature are associated with higher At-Risk log-odds, holding other features constant. Negative coefficients indicate the opposite direction. In this trained model, Backlog Subjects has a positive coefficient (+1.34537), while Attendance, Previous Grades, Assignment Performance, Internal Marks, and Participation have negative coefficients. Coefficients are learned automatically during model.fit(); they are not manually assigned. Coefficient signs and magnitudes describe this trained synthetic-data model and should not be treated as causal effects.</w:t>
      </w:r>
    </w:p>
    <w:p>
      <w:pPr>
        <w:keepNext/>
        <w:spacing w:before="120" w:after="60"/>
      </w:pPr>
      <w:r>
        <w:rPr>
          <w:rFonts w:ascii="Times New Roman" w:hAnsi="Times New Roman"/>
          <w:b/>
          <w:color w:val="000000"/>
          <w:sz w:val="24"/>
        </w:rPr>
        <w:t>Interpretation of the Result</w:t>
      </w:r>
    </w:p>
    <w:p>
      <w:pPr>
        <w:spacing w:before="0" w:after="60" w:line="259" w:lineRule="auto"/>
        <w:jc w:val="both"/>
      </w:pPr>
      <w:r>
        <w:rPr>
          <w:rFonts w:ascii="Times New Roman" w:hAnsi="Times New Roman"/>
          <w:i w:val="0"/>
          <w:color w:val="000000"/>
          <w:sz w:val="20"/>
        </w:rPr>
        <w:t>The worked example obtains 99.99% predicted probability because the six input values form a strong At-Risk pattern under the learned parameters. This probability is model output, not a guarantee of academic failure. A 0.50 threshold is used as a baseline; changing it can change the precision/recall trade-off. Threshold selection should be evaluated on appropriate validation data before real-world use.</w:t>
      </w:r>
    </w:p>
    <w:p>
      <w:pPr>
        <w:keepNext/>
        <w:pageBreakBefore/>
        <w:spacing w:before="0" w:after="140"/>
        <w:jc w:val="left"/>
      </w:pPr>
      <w:r>
        <w:rPr>
          <w:rFonts w:ascii="Times New Roman" w:hAnsi="Times New Roman"/>
          <w:b/>
          <w:color w:val="000000"/>
          <w:sz w:val="28"/>
        </w:rPr>
        <w:t>7. CONCLUSION</w:t>
      </w:r>
    </w:p>
    <w:p>
      <w:pPr>
        <w:spacing w:before="0" w:after="100" w:line="259" w:lineRule="auto"/>
        <w:jc w:val="both"/>
      </w:pPr>
      <w:r>
        <w:rPr>
          <w:rFonts w:ascii="Times New Roman" w:hAnsi="Times New Roman"/>
          <w:i w:val="0"/>
          <w:color w:val="000000"/>
          <w:sz w:val="21"/>
        </w:rPr>
        <w:t>This case study demonstrates an end-to-end supervised-learning workflow for a Student Academic Risk Prediction System. A 1,000-record synthetic dataset was inspected using EDA, checked for missing values and duplicates, and split into 800 training and 200 test records using stratification. StandardScaler was fitted on the training data only. Logistic Regression learned six feature coefficients and an intercept, generated probabilities through the sigmoid function, and used a 0.50 baseline threshold to provide a binary YES/NO prediction.</w:t>
      </w:r>
    </w:p>
    <w:p>
      <w:pPr>
        <w:spacing w:before="0" w:after="100" w:line="259" w:lineRule="auto"/>
        <w:jc w:val="both"/>
      </w:pPr>
      <w:r>
        <w:rPr>
          <w:rFonts w:ascii="Times New Roman" w:hAnsi="Times New Roman"/>
          <w:i w:val="0"/>
          <w:color w:val="000000"/>
          <w:sz w:val="21"/>
        </w:rPr>
        <w:t>On the synthetic test split, the model achieved 88.50% accuracy, 87.38% precision, 90.00% recall, and 88.67% F1-score. The confusion matrix and performance graphs document both correct predictions and errors. EDA showed a balanced target and differences in mean attendance and backlog counts between classes, but the overlapping distributions confirm that no single feature fully separates the target classes.</w:t>
      </w:r>
    </w:p>
    <w:p>
      <w:pPr>
        <w:keepNext/>
        <w:spacing w:before="120" w:after="60"/>
      </w:pPr>
      <w:r>
        <w:rPr>
          <w:rFonts w:ascii="Times New Roman" w:hAnsi="Times New Roman"/>
          <w:b/>
          <w:color w:val="000000"/>
          <w:sz w:val="24"/>
        </w:rPr>
        <w:t>Limitations and Future Work</w:t>
      </w:r>
    </w:p>
    <w:p>
      <w:pPr>
        <w:spacing w:after="40" w:line="245" w:lineRule="auto"/>
        <w:ind w:left="360" w:hanging="202"/>
      </w:pPr>
      <w:r>
        <w:rPr>
          <w:rFonts w:ascii="Times New Roman" w:hAnsi="Times New Roman"/>
          <w:color w:val="000000"/>
          <w:sz w:val="20"/>
        </w:rPr>
        <w:t>• The dataset is synthetic; these metrics are not evidence of real-world institutional performance.</w:t>
      </w:r>
    </w:p>
    <w:p>
      <w:pPr>
        <w:spacing w:after="40" w:line="245" w:lineRule="auto"/>
        <w:ind w:left="360" w:hanging="202"/>
      </w:pPr>
      <w:r>
        <w:rPr>
          <w:rFonts w:ascii="Times New Roman" w:hAnsi="Times New Roman"/>
          <w:color w:val="000000"/>
          <w:sz w:val="20"/>
        </w:rPr>
        <w:t>• The 0.50 decision threshold is a baseline and has not been optimized using validation data.</w:t>
      </w:r>
    </w:p>
    <w:p>
      <w:pPr>
        <w:spacing w:after="40" w:line="245" w:lineRule="auto"/>
        <w:ind w:left="360" w:hanging="202"/>
      </w:pPr>
      <w:r>
        <w:rPr>
          <w:rFonts w:ascii="Times New Roman" w:hAnsi="Times New Roman"/>
          <w:color w:val="000000"/>
          <w:sz w:val="20"/>
        </w:rPr>
        <w:t>• Only Logistic Regression is reported as the main baseline; future work can compare Decision Tree, Random Forest, and boosting models.</w:t>
      </w:r>
    </w:p>
    <w:p>
      <w:pPr>
        <w:spacing w:after="40" w:line="245" w:lineRule="auto"/>
        <w:ind w:left="360" w:hanging="202"/>
      </w:pPr>
      <w:r>
        <w:rPr>
          <w:rFonts w:ascii="Times New Roman" w:hAnsi="Times New Roman"/>
          <w:color w:val="000000"/>
          <w:sz w:val="20"/>
        </w:rPr>
        <w:t>• A suitable real or public dataset should be used for external validation, fairness review, and probability calibration before any operational deployment.</w:t>
      </w:r>
    </w:p>
    <w:p>
      <w:pPr>
        <w:spacing w:after="40" w:line="245" w:lineRule="auto"/>
        <w:ind w:left="360" w:hanging="202"/>
      </w:pPr>
      <w:r>
        <w:rPr>
          <w:rFonts w:ascii="Times New Roman" w:hAnsi="Times New Roman"/>
          <w:color w:val="000000"/>
          <w:sz w:val="20"/>
        </w:rPr>
        <w:t>• The system should support human review and academic assistance rather than automatically making consequential decisions about students.</w:t>
      </w:r>
    </w:p>
    <w:p>
      <w:pPr>
        <w:keepNext/>
        <w:pageBreakBefore/>
        <w:spacing w:before="0" w:after="140"/>
        <w:jc w:val="left"/>
      </w:pPr>
      <w:r>
        <w:rPr>
          <w:rFonts w:ascii="Times New Roman" w:hAnsi="Times New Roman"/>
          <w:b/>
          <w:color w:val="000000"/>
          <w:sz w:val="28"/>
        </w:rPr>
        <w:t>REFERENCES</w:t>
      </w:r>
    </w:p>
    <w:p>
      <w:pPr>
        <w:spacing w:before="0" w:after="240" w:line="259" w:lineRule="auto"/>
        <w:jc w:val="left"/>
      </w:pPr>
      <w:r>
        <w:rPr>
          <w:rFonts w:ascii="Times New Roman" w:hAnsi="Times New Roman"/>
          <w:i w:val="0"/>
          <w:color w:val="000000"/>
          <w:sz w:val="20"/>
        </w:rPr>
        <w:t>[1] M. V. Martins, D. Tolledo, J. Machado, L. M. T. Baptista, and V. Realinho, “Early Prediction of Student’s Performance in Higher Education: A Case Study,” in Trends and Applications in Information Systems and Technologies, 2021. DOI: https://doi.org/10.1007/978-3-030-72657-7_16</w:t>
      </w:r>
    </w:p>
    <w:p>
      <w:pPr>
        <w:spacing w:before="0" w:after="240" w:line="259" w:lineRule="auto"/>
        <w:jc w:val="left"/>
      </w:pPr>
      <w:r>
        <w:rPr>
          <w:rFonts w:ascii="Times New Roman" w:hAnsi="Times New Roman"/>
          <w:i w:val="0"/>
          <w:color w:val="000000"/>
          <w:sz w:val="20"/>
        </w:rPr>
        <w:t>[2] M. N. Yakubu and A. M. Abubakar, “Applying machine learning approach to predict students’ performance in higher educational institutions,” Kybernetes, vol. 51, no. 2, pp. 916–934, 2021. DOI: https://doi.org/10.1108/K-12-2020-0865</w:t>
      </w:r>
    </w:p>
    <w:p>
      <w:pPr>
        <w:spacing w:before="0" w:after="240" w:line="259" w:lineRule="auto"/>
        <w:jc w:val="left"/>
      </w:pPr>
      <w:r>
        <w:rPr>
          <w:rFonts w:ascii="Times New Roman" w:hAnsi="Times New Roman"/>
          <w:i w:val="0"/>
          <w:color w:val="000000"/>
          <w:sz w:val="20"/>
        </w:rPr>
        <w:t>[3] A. Villar and C. R. V. de Andrade, “Supervised machine learning algorithms for predicting student dropout and academic success: a comparative study,” Discover Artificial Intelligence, vol. 4, article 2, 2024. DOI: https://doi.org/10.1007/s44163-023-00079-z</w:t>
      </w:r>
    </w:p>
    <w:p>
      <w:pPr>
        <w:spacing w:before="0" w:after="280" w:line="259" w:lineRule="auto"/>
        <w:jc w:val="left"/>
      </w:pPr>
      <w:r>
        <w:rPr>
          <w:rFonts w:ascii="Times New Roman" w:hAnsi="Times New Roman"/>
          <w:i w:val="0"/>
          <w:color w:val="000000"/>
          <w:sz w:val="20"/>
        </w:rPr>
        <w:t>Dataset used: Student_Academic_Risk_Dataset.csv (synthetic prototype dataset supplied with the project).</w:t>
      </w:r>
    </w:p>
    <w:p>
      <w:pPr>
        <w:spacing w:before="360" w:after="320"/>
        <w:jc w:val="right"/>
      </w:pPr>
      <w:r>
        <w:rPr>
          <w:rFonts w:ascii="Times New Roman" w:hAnsi="Times New Roman"/>
          <w:b/>
          <w:color w:val="000000"/>
          <w:sz w:val="24"/>
        </w:rPr>
        <w:t>Signature of the Team members</w:t>
      </w:r>
    </w:p>
    <w:p>
      <w:pPr>
        <w:spacing w:after="120"/>
        <w:jc w:val="right"/>
      </w:pPr>
      <w:r>
        <w:rPr>
          <w:rFonts w:ascii="Times New Roman" w:hAnsi="Times New Roman"/>
          <w:color w:val="000000"/>
          <w:sz w:val="21"/>
        </w:rPr>
        <w:t>Chandra Prakash Verma  (2500031353)</w:t>
      </w:r>
    </w:p>
    <w:p>
      <w:pPr>
        <w:jc w:val="right"/>
      </w:pPr>
      <w:r>
        <w:rPr>
          <w:rFonts w:ascii="Times New Roman" w:hAnsi="Times New Roman"/>
          <w:color w:val="000000"/>
          <w:sz w:val="21"/>
        </w:rPr>
        <w:t>Harshith Sirpuri  (2520030572)</w:t>
      </w:r>
    </w:p>
    <w:sectPr>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Chandra Prakash Verma; Harshith Sirpuri</dc:creator>
  <cp:lastModifiedBy>yasmeen</cp:lastModifiedBy>
  <dcterms:modified xsi:type="dcterms:W3CDTF">2026-10-03T10:21:12Z</dcterms:modified>
  <cp:revision>6</cp:revision>
  <dc:title>Student Academic Risk Prediction and Early Intervention Using Machine Learning</dc:title>
  <dc:subject>Machine Learning case-study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