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32037"/>
          <w:sz w:val="38"/>
        </w:rPr>
        <w:t>STUDENT ACADEMIC RISK PREDICTION SYSTEM</w:t>
      </w:r>
    </w:p>
    <w:p>
      <w:pPr>
        <w:spacing w:after="80"/>
        <w:jc w:val="center"/>
      </w:pPr>
      <w:r>
        <w:rPr>
          <w:b/>
          <w:color w:val="2B5C91"/>
          <w:sz w:val="27"/>
        </w:rPr>
        <w:t>Exploratory Data Analysis (EDA) Report</w:t>
      </w:r>
    </w:p>
    <w:p>
      <w:pPr>
        <w:spacing w:after="80"/>
        <w:jc w:val="center"/>
      </w:pPr>
      <w:r>
        <w:rPr>
          <w:color w:val="5F6976"/>
          <w:sz w:val="20"/>
        </w:rPr>
        <w:t>Chandra Prakash Verma (2500031353)  |  Harshith Sirpuri (2520030572)</w:t>
      </w:r>
    </w:p>
    <w:tbl>
      <w:tblPr>
        <w:tblW w:type="auto" w:w="0"/>
        <w:tblLook w:firstColumn="1" w:firstRow="1" w:lastColumn="0" w:lastRow="0" w:noHBand="0" w:noVBand="1" w:val="04A0"/>
      </w:tblPr>
      <w:tblGrid>
        <w:gridCol w:w="10224"/>
      </w:tblGrid>
      <w:tr>
        <w:tc>
          <w:tcPr>
            <w:tcW w:type="dxa" w:w="10224"/>
            <w:shd w:fill="E7EFF8"/>
            <w:vAlign w:val="center"/>
          </w:tcPr>
          <w:p>
            <w:pPr>
              <w:jc w:val="left"/>
            </w:pPr>
            <w:r/>
            <w:r>
              <w:rPr>
                <w:rFonts w:ascii="Aptos" w:hAnsi="Aptos"/>
                <w:b w:val="0"/>
                <w:color w:val="132037"/>
                <w:sz w:val="17"/>
              </w:rPr>
              <w:t>Purpose: understand the dataset before model training by checking structure, quality, distributions, class balance, and relationships among academic indicators.</w:t>
            </w:r>
          </w:p>
        </w:tc>
      </w:tr>
    </w:tbl>
    <w:p>
      <w:pPr>
        <w:spacing w:after="80"/>
      </w:pPr>
    </w:p>
    <w:p>
      <w:pPr>
        <w:pStyle w:val="Heading1"/>
        <w:spacing w:after="80"/>
      </w:pPr>
      <w:r>
        <w:t>1. EDA Objective</w:t>
      </w:r>
    </w:p>
    <w:p>
      <w:pPr>
        <w:spacing w:after="80"/>
      </w:pPr>
      <w:r>
        <w:rPr>
          <w:b/>
        </w:rPr>
        <w:t xml:space="preserve">EDA is the stage used to understand the dataset before machine-learning training. </w:t>
      </w:r>
      <w:r>
        <w:t>For this project, the analysis examines data structure, missing values, duplicates, target balance, numerical distributions, and relationships among the academic indicators. EDA is descriptive and identifies associations rather than proving causation.</w:t>
      </w:r>
    </w:p>
    <w:p>
      <w:pPr>
        <w:pStyle w:val="Heading1"/>
        <w:spacing w:after="80"/>
      </w:pPr>
      <w:r>
        <w:t>2. Dataset Overview</w:t>
      </w:r>
    </w:p>
    <w:p>
      <w:pPr>
        <w:spacing w:after="80"/>
      </w:pPr>
      <w:r>
        <w:rPr>
          <w:b/>
        </w:rPr>
        <w:t xml:space="preserve">Dataset type: </w:t>
      </w:r>
      <w:r>
        <w:t>Synthetic prototype dataset.</w:t>
      </w:r>
    </w:p>
    <w:p>
      <w:pPr>
        <w:spacing w:after="80"/>
      </w:pPr>
      <w:r>
        <w:rPr>
          <w:b/>
        </w:rPr>
        <w:t xml:space="preserve">Size: </w:t>
      </w:r>
      <w:r>
        <w:t>1,000 student records × 7 columns (6 inputs + 1 target).</w:t>
      </w:r>
    </w:p>
    <w:tbl>
      <w:tblPr>
        <w:tblW w:type="auto" w:w="0"/>
        <w:jc w:val="center"/>
        <w:tblLook w:firstColumn="1" w:firstRow="1" w:lastColumn="0" w:lastRow="0" w:noHBand="0" w:noVBand="1" w:val="04A0"/>
      </w:tblPr>
      <w:tblGrid>
        <w:gridCol w:w="3408"/>
        <w:gridCol w:w="3408"/>
        <w:gridCol w:w="3408"/>
      </w:tblGrid>
      <w:tr>
        <w:tc>
          <w:tcPr>
            <w:tcW w:type="dxa" w:w="3408"/>
            <w:vAlign w:val="center"/>
            <w:shd w:fill="132037"/>
          </w:tcPr>
          <w:p>
            <w:pPr>
              <w:jc w:val="center"/>
            </w:pPr>
            <w:r/>
            <w:r>
              <w:rPr>
                <w:rFonts w:ascii="Aptos" w:hAnsi="Aptos"/>
                <w:b/>
                <w:color w:val="FFFFFF"/>
                <w:sz w:val="17"/>
              </w:rPr>
              <w:t>Column</w:t>
            </w:r>
          </w:p>
        </w:tc>
        <w:tc>
          <w:tcPr>
            <w:tcW w:type="dxa" w:w="3408"/>
            <w:vAlign w:val="center"/>
            <w:shd w:fill="132037"/>
          </w:tcPr>
          <w:p>
            <w:pPr>
              <w:jc w:val="center"/>
            </w:pPr>
            <w:r/>
            <w:r>
              <w:rPr>
                <w:rFonts w:ascii="Aptos" w:hAnsi="Aptos"/>
                <w:b/>
                <w:color w:val="FFFFFF"/>
                <w:sz w:val="17"/>
              </w:rPr>
              <w:t>Data type</w:t>
            </w:r>
          </w:p>
        </w:tc>
        <w:tc>
          <w:tcPr>
            <w:tcW w:type="dxa" w:w="3408"/>
            <w:vAlign w:val="center"/>
            <w:shd w:fill="132037"/>
          </w:tcPr>
          <w:p>
            <w:pPr>
              <w:jc w:val="center"/>
            </w:pPr>
            <w:r/>
            <w:r>
              <w:rPr>
                <w:rFonts w:ascii="Aptos" w:hAnsi="Aptos"/>
                <w:b/>
                <w:color w:val="FFFFFF"/>
                <w:sz w:val="17"/>
              </w:rPr>
              <w:t>Role</w:t>
            </w:r>
          </w:p>
        </w:tc>
      </w:tr>
      <w:tr>
        <w:tc>
          <w:tcPr>
            <w:tcW w:type="dxa" w:w="3408"/>
            <w:vAlign w:val="center"/>
            <w:shd w:fill="FFFFFF"/>
          </w:tcPr>
          <w:p>
            <w:pPr>
              <w:jc w:val="left"/>
            </w:pPr>
            <w:r/>
            <w:r>
              <w:rPr>
                <w:rFonts w:ascii="Aptos" w:hAnsi="Aptos"/>
                <w:b w:val="0"/>
                <w:color w:val="232A33"/>
                <w:sz w:val="17"/>
              </w:rPr>
              <w:t>Attendance_Percentage</w:t>
            </w:r>
          </w:p>
        </w:tc>
        <w:tc>
          <w:tcPr>
            <w:tcW w:type="dxa" w:w="3408"/>
            <w:vAlign w:val="center"/>
            <w:shd w:fill="FFFFFF"/>
          </w:tcPr>
          <w:p>
            <w:pPr>
              <w:jc w:val="left"/>
            </w:pPr>
            <w:r/>
            <w:r>
              <w:rPr>
                <w:rFonts w:ascii="Aptos" w:hAnsi="Aptos"/>
                <w:b w:val="0"/>
                <w:color w:val="232A33"/>
                <w:sz w:val="17"/>
              </w:rPr>
              <w:t>Numerical</w:t>
            </w:r>
          </w:p>
        </w:tc>
        <w:tc>
          <w:tcPr>
            <w:tcW w:type="dxa" w:w="3408"/>
            <w:vAlign w:val="center"/>
            <w:shd w:fill="FFFFFF"/>
          </w:tcPr>
          <w:p>
            <w:pPr>
              <w:jc w:val="left"/>
            </w:pPr>
            <w:r/>
            <w:r>
              <w:rPr>
                <w:rFonts w:ascii="Aptos" w:hAnsi="Aptos"/>
                <w:b w:val="0"/>
                <w:color w:val="232A33"/>
                <w:sz w:val="17"/>
              </w:rPr>
              <w:t>Input feature</w:t>
            </w:r>
          </w:p>
        </w:tc>
      </w:tr>
      <w:tr>
        <w:tc>
          <w:tcPr>
            <w:tcW w:type="dxa" w:w="3408"/>
            <w:vAlign w:val="center"/>
            <w:shd w:fill="F7F9FB"/>
          </w:tcPr>
          <w:p>
            <w:pPr>
              <w:jc w:val="left"/>
            </w:pPr>
            <w:r/>
            <w:r>
              <w:rPr>
                <w:rFonts w:ascii="Aptos" w:hAnsi="Aptos"/>
                <w:b w:val="0"/>
                <w:color w:val="232A33"/>
                <w:sz w:val="17"/>
              </w:rPr>
              <w:t>Previous_Grades</w:t>
            </w:r>
          </w:p>
        </w:tc>
        <w:tc>
          <w:tcPr>
            <w:tcW w:type="dxa" w:w="3408"/>
            <w:vAlign w:val="center"/>
            <w:shd w:fill="F7F9FB"/>
          </w:tcPr>
          <w:p>
            <w:pPr>
              <w:jc w:val="left"/>
            </w:pPr>
            <w:r/>
            <w:r>
              <w:rPr>
                <w:rFonts w:ascii="Aptos" w:hAnsi="Aptos"/>
                <w:b w:val="0"/>
                <w:color w:val="232A33"/>
                <w:sz w:val="17"/>
              </w:rPr>
              <w:t>Numerical</w:t>
            </w:r>
          </w:p>
        </w:tc>
        <w:tc>
          <w:tcPr>
            <w:tcW w:type="dxa" w:w="3408"/>
            <w:vAlign w:val="center"/>
            <w:shd w:fill="F7F9FB"/>
          </w:tcPr>
          <w:p>
            <w:pPr>
              <w:jc w:val="left"/>
            </w:pPr>
            <w:r/>
            <w:r>
              <w:rPr>
                <w:rFonts w:ascii="Aptos" w:hAnsi="Aptos"/>
                <w:b w:val="0"/>
                <w:color w:val="232A33"/>
                <w:sz w:val="17"/>
              </w:rPr>
              <w:t>Input feature</w:t>
            </w:r>
          </w:p>
        </w:tc>
      </w:tr>
      <w:tr>
        <w:tc>
          <w:tcPr>
            <w:tcW w:type="dxa" w:w="3408"/>
            <w:vAlign w:val="center"/>
            <w:shd w:fill="FFFFFF"/>
          </w:tcPr>
          <w:p>
            <w:pPr>
              <w:jc w:val="left"/>
            </w:pPr>
            <w:r/>
            <w:r>
              <w:rPr>
                <w:rFonts w:ascii="Aptos" w:hAnsi="Aptos"/>
                <w:b w:val="0"/>
                <w:color w:val="232A33"/>
                <w:sz w:val="17"/>
              </w:rPr>
              <w:t>Assignment_Performance</w:t>
            </w:r>
          </w:p>
        </w:tc>
        <w:tc>
          <w:tcPr>
            <w:tcW w:type="dxa" w:w="3408"/>
            <w:vAlign w:val="center"/>
            <w:shd w:fill="FFFFFF"/>
          </w:tcPr>
          <w:p>
            <w:pPr>
              <w:jc w:val="left"/>
            </w:pPr>
            <w:r/>
            <w:r>
              <w:rPr>
                <w:rFonts w:ascii="Aptos" w:hAnsi="Aptos"/>
                <w:b w:val="0"/>
                <w:color w:val="232A33"/>
                <w:sz w:val="17"/>
              </w:rPr>
              <w:t>Numerical</w:t>
            </w:r>
          </w:p>
        </w:tc>
        <w:tc>
          <w:tcPr>
            <w:tcW w:type="dxa" w:w="3408"/>
            <w:vAlign w:val="center"/>
            <w:shd w:fill="FFFFFF"/>
          </w:tcPr>
          <w:p>
            <w:pPr>
              <w:jc w:val="left"/>
            </w:pPr>
            <w:r/>
            <w:r>
              <w:rPr>
                <w:rFonts w:ascii="Aptos" w:hAnsi="Aptos"/>
                <w:b w:val="0"/>
                <w:color w:val="232A33"/>
                <w:sz w:val="17"/>
              </w:rPr>
              <w:t>Input feature</w:t>
            </w:r>
          </w:p>
        </w:tc>
      </w:tr>
      <w:tr>
        <w:tc>
          <w:tcPr>
            <w:tcW w:type="dxa" w:w="3408"/>
            <w:vAlign w:val="center"/>
            <w:shd w:fill="F7F9FB"/>
          </w:tcPr>
          <w:p>
            <w:pPr>
              <w:jc w:val="left"/>
            </w:pPr>
            <w:r/>
            <w:r>
              <w:rPr>
                <w:rFonts w:ascii="Aptos" w:hAnsi="Aptos"/>
                <w:b w:val="0"/>
                <w:color w:val="232A33"/>
                <w:sz w:val="17"/>
              </w:rPr>
              <w:t>Internal_Marks</w:t>
            </w:r>
          </w:p>
        </w:tc>
        <w:tc>
          <w:tcPr>
            <w:tcW w:type="dxa" w:w="3408"/>
            <w:vAlign w:val="center"/>
            <w:shd w:fill="F7F9FB"/>
          </w:tcPr>
          <w:p>
            <w:pPr>
              <w:jc w:val="left"/>
            </w:pPr>
            <w:r/>
            <w:r>
              <w:rPr>
                <w:rFonts w:ascii="Aptos" w:hAnsi="Aptos"/>
                <w:b w:val="0"/>
                <w:color w:val="232A33"/>
                <w:sz w:val="17"/>
              </w:rPr>
              <w:t>Numerical</w:t>
            </w:r>
          </w:p>
        </w:tc>
        <w:tc>
          <w:tcPr>
            <w:tcW w:type="dxa" w:w="3408"/>
            <w:vAlign w:val="center"/>
            <w:shd w:fill="F7F9FB"/>
          </w:tcPr>
          <w:p>
            <w:pPr>
              <w:jc w:val="left"/>
            </w:pPr>
            <w:r/>
            <w:r>
              <w:rPr>
                <w:rFonts w:ascii="Aptos" w:hAnsi="Aptos"/>
                <w:b w:val="0"/>
                <w:color w:val="232A33"/>
                <w:sz w:val="17"/>
              </w:rPr>
              <w:t>Input feature</w:t>
            </w:r>
          </w:p>
        </w:tc>
      </w:tr>
      <w:tr>
        <w:tc>
          <w:tcPr>
            <w:tcW w:type="dxa" w:w="3408"/>
            <w:vAlign w:val="center"/>
            <w:shd w:fill="FFFFFF"/>
          </w:tcPr>
          <w:p>
            <w:pPr>
              <w:jc w:val="left"/>
            </w:pPr>
            <w:r/>
            <w:r>
              <w:rPr>
                <w:rFonts w:ascii="Aptos" w:hAnsi="Aptos"/>
                <w:b w:val="0"/>
                <w:color w:val="232A33"/>
                <w:sz w:val="17"/>
              </w:rPr>
              <w:t>Participation_Score</w:t>
            </w:r>
          </w:p>
        </w:tc>
        <w:tc>
          <w:tcPr>
            <w:tcW w:type="dxa" w:w="3408"/>
            <w:vAlign w:val="center"/>
            <w:shd w:fill="FFFFFF"/>
          </w:tcPr>
          <w:p>
            <w:pPr>
              <w:jc w:val="left"/>
            </w:pPr>
            <w:r/>
            <w:r>
              <w:rPr>
                <w:rFonts w:ascii="Aptos" w:hAnsi="Aptos"/>
                <w:b w:val="0"/>
                <w:color w:val="232A33"/>
                <w:sz w:val="17"/>
              </w:rPr>
              <w:t>Numerical</w:t>
            </w:r>
          </w:p>
        </w:tc>
        <w:tc>
          <w:tcPr>
            <w:tcW w:type="dxa" w:w="3408"/>
            <w:vAlign w:val="center"/>
            <w:shd w:fill="FFFFFF"/>
          </w:tcPr>
          <w:p>
            <w:pPr>
              <w:jc w:val="left"/>
            </w:pPr>
            <w:r/>
            <w:r>
              <w:rPr>
                <w:rFonts w:ascii="Aptos" w:hAnsi="Aptos"/>
                <w:b w:val="0"/>
                <w:color w:val="232A33"/>
                <w:sz w:val="17"/>
              </w:rPr>
              <w:t>Input feature</w:t>
            </w:r>
          </w:p>
        </w:tc>
      </w:tr>
      <w:tr>
        <w:tc>
          <w:tcPr>
            <w:tcW w:type="dxa" w:w="3408"/>
            <w:vAlign w:val="center"/>
            <w:shd w:fill="F7F9FB"/>
          </w:tcPr>
          <w:p>
            <w:pPr>
              <w:jc w:val="left"/>
            </w:pPr>
            <w:r/>
            <w:r>
              <w:rPr>
                <w:rFonts w:ascii="Aptos" w:hAnsi="Aptos"/>
                <w:b w:val="0"/>
                <w:color w:val="232A33"/>
                <w:sz w:val="17"/>
              </w:rPr>
              <w:t>Backlog_Subjects</w:t>
            </w:r>
          </w:p>
        </w:tc>
        <w:tc>
          <w:tcPr>
            <w:tcW w:type="dxa" w:w="3408"/>
            <w:vAlign w:val="center"/>
            <w:shd w:fill="F7F9FB"/>
          </w:tcPr>
          <w:p>
            <w:pPr>
              <w:jc w:val="left"/>
            </w:pPr>
            <w:r/>
            <w:r>
              <w:rPr>
                <w:rFonts w:ascii="Aptos" w:hAnsi="Aptos"/>
                <w:b w:val="0"/>
                <w:color w:val="232A33"/>
                <w:sz w:val="17"/>
              </w:rPr>
              <w:t>Numerical</w:t>
            </w:r>
          </w:p>
        </w:tc>
        <w:tc>
          <w:tcPr>
            <w:tcW w:type="dxa" w:w="3408"/>
            <w:vAlign w:val="center"/>
            <w:shd w:fill="F7F9FB"/>
          </w:tcPr>
          <w:p>
            <w:pPr>
              <w:jc w:val="left"/>
            </w:pPr>
            <w:r/>
            <w:r>
              <w:rPr>
                <w:rFonts w:ascii="Aptos" w:hAnsi="Aptos"/>
                <w:b w:val="0"/>
                <w:color w:val="232A33"/>
                <w:sz w:val="17"/>
              </w:rPr>
              <w:t>Input feature</w:t>
            </w:r>
          </w:p>
        </w:tc>
      </w:tr>
      <w:tr>
        <w:tc>
          <w:tcPr>
            <w:tcW w:type="dxa" w:w="3408"/>
            <w:vAlign w:val="center"/>
            <w:shd w:fill="FFFFFF"/>
          </w:tcPr>
          <w:p>
            <w:pPr>
              <w:jc w:val="left"/>
            </w:pPr>
            <w:r/>
            <w:r>
              <w:rPr>
                <w:rFonts w:ascii="Aptos" w:hAnsi="Aptos"/>
                <w:b w:val="0"/>
                <w:color w:val="232A33"/>
                <w:sz w:val="17"/>
              </w:rPr>
              <w:t>At_Risk</w:t>
            </w:r>
          </w:p>
        </w:tc>
        <w:tc>
          <w:tcPr>
            <w:tcW w:type="dxa" w:w="3408"/>
            <w:vAlign w:val="center"/>
            <w:shd w:fill="FFFFFF"/>
          </w:tcPr>
          <w:p>
            <w:pPr>
              <w:jc w:val="left"/>
            </w:pPr>
            <w:r/>
            <w:r>
              <w:rPr>
                <w:rFonts w:ascii="Aptos" w:hAnsi="Aptos"/>
                <w:b w:val="0"/>
                <w:color w:val="232A33"/>
                <w:sz w:val="17"/>
              </w:rPr>
              <w:t>Categorical (binary)</w:t>
            </w:r>
          </w:p>
        </w:tc>
        <w:tc>
          <w:tcPr>
            <w:tcW w:type="dxa" w:w="3408"/>
            <w:vAlign w:val="center"/>
            <w:shd w:fill="FFFFFF"/>
          </w:tcPr>
          <w:p>
            <w:pPr>
              <w:jc w:val="left"/>
            </w:pPr>
            <w:r/>
            <w:r>
              <w:rPr>
                <w:rFonts w:ascii="Aptos" w:hAnsi="Aptos"/>
                <w:b w:val="0"/>
                <w:color w:val="232A33"/>
                <w:sz w:val="17"/>
              </w:rPr>
              <w:t>Target: Yes / No</w:t>
            </w:r>
          </w:p>
        </w:tc>
      </w:tr>
    </w:tbl>
    <w:p>
      <w:pPr>
        <w:spacing w:after="80"/>
      </w:pPr>
      <w:r>
        <w:br w:type="page"/>
      </w:r>
    </w:p>
    <w:p>
      <w:pPr>
        <w:pStyle w:val="Heading1"/>
        <w:spacing w:after="80"/>
      </w:pPr>
      <w:r>
        <w:t>3. Data Quality Checks</w:t>
      </w:r>
    </w:p>
    <w:tbl>
      <w:tblPr>
        <w:tblW w:type="auto" w:w="0"/>
        <w:tblLook w:firstColumn="1" w:firstRow="1" w:lastColumn="0" w:lastRow="0" w:noHBand="0" w:noVBand="1" w:val="04A0"/>
      </w:tblPr>
      <w:tblGrid>
        <w:gridCol w:w="3408"/>
        <w:gridCol w:w="3408"/>
        <w:gridCol w:w="3408"/>
      </w:tblGrid>
      <w:tr>
        <w:tc>
          <w:tcPr>
            <w:tcW w:type="dxa" w:w="3408"/>
            <w:vAlign w:val="center"/>
            <w:shd w:fill="2B5C91"/>
          </w:tcPr>
          <w:p>
            <w:pPr>
              <w:jc w:val="center"/>
            </w:pPr>
            <w:r/>
            <w:r>
              <w:rPr>
                <w:rFonts w:ascii="Aptos" w:hAnsi="Aptos"/>
                <w:b/>
                <w:color w:val="FFFFFF"/>
                <w:sz w:val="17"/>
              </w:rPr>
              <w:t>Check</w:t>
            </w:r>
          </w:p>
        </w:tc>
        <w:tc>
          <w:tcPr>
            <w:tcW w:type="dxa" w:w="3408"/>
            <w:vAlign w:val="center"/>
            <w:shd w:fill="2B5C91"/>
          </w:tcPr>
          <w:p>
            <w:pPr>
              <w:jc w:val="center"/>
            </w:pPr>
            <w:r/>
            <w:r>
              <w:rPr>
                <w:rFonts w:ascii="Aptos" w:hAnsi="Aptos"/>
                <w:b/>
                <w:color w:val="FFFFFF"/>
                <w:sz w:val="17"/>
              </w:rPr>
              <w:t>Result</w:t>
            </w:r>
          </w:p>
        </w:tc>
        <w:tc>
          <w:tcPr>
            <w:tcW w:type="dxa" w:w="3408"/>
            <w:vAlign w:val="center"/>
            <w:shd w:fill="2B5C91"/>
          </w:tcPr>
          <w:p>
            <w:pPr>
              <w:jc w:val="center"/>
            </w:pPr>
            <w:r/>
            <w:r>
              <w:rPr>
                <w:rFonts w:ascii="Aptos" w:hAnsi="Aptos"/>
                <w:b/>
                <w:color w:val="FFFFFF"/>
                <w:sz w:val="17"/>
              </w:rPr>
              <w:t>Interpretation</w:t>
            </w:r>
          </w:p>
        </w:tc>
      </w:tr>
      <w:tr>
        <w:tc>
          <w:tcPr>
            <w:tcW w:type="dxa" w:w="3408"/>
            <w:vAlign w:val="center"/>
            <w:shd w:fill="FFFFFF"/>
          </w:tcPr>
          <w:p>
            <w:pPr>
              <w:jc w:val="left"/>
            </w:pPr>
            <w:r/>
            <w:r>
              <w:rPr>
                <w:rFonts w:ascii="Aptos" w:hAnsi="Aptos"/>
                <w:b w:val="0"/>
                <w:color w:val="232A33"/>
                <w:sz w:val="17"/>
              </w:rPr>
              <w:t>Dataset shape</w:t>
            </w:r>
          </w:p>
        </w:tc>
        <w:tc>
          <w:tcPr>
            <w:tcW w:type="dxa" w:w="3408"/>
            <w:vAlign w:val="center"/>
            <w:shd w:fill="FFFFFF"/>
          </w:tcPr>
          <w:p>
            <w:pPr>
              <w:jc w:val="left"/>
            </w:pPr>
            <w:r/>
            <w:r>
              <w:rPr>
                <w:rFonts w:ascii="Aptos" w:hAnsi="Aptos"/>
                <w:b w:val="0"/>
                <w:color w:val="232A33"/>
                <w:sz w:val="17"/>
              </w:rPr>
              <w:t>(1000, 7)</w:t>
            </w:r>
          </w:p>
        </w:tc>
        <w:tc>
          <w:tcPr>
            <w:tcW w:type="dxa" w:w="3408"/>
            <w:vAlign w:val="center"/>
            <w:shd w:fill="FFFFFF"/>
          </w:tcPr>
          <w:p>
            <w:pPr>
              <w:jc w:val="left"/>
            </w:pPr>
            <w:r/>
            <w:r>
              <w:rPr>
                <w:rFonts w:ascii="Aptos" w:hAnsi="Aptos"/>
                <w:b w:val="0"/>
                <w:color w:val="232A33"/>
                <w:sz w:val="17"/>
              </w:rPr>
              <w:t>1,000 records, 7 columns</w:t>
            </w:r>
          </w:p>
        </w:tc>
      </w:tr>
      <w:tr>
        <w:tc>
          <w:tcPr>
            <w:tcW w:type="dxa" w:w="3408"/>
            <w:vAlign w:val="center"/>
            <w:shd w:fill="F7F9FB"/>
          </w:tcPr>
          <w:p>
            <w:pPr>
              <w:jc w:val="left"/>
            </w:pPr>
            <w:r/>
            <w:r>
              <w:rPr>
                <w:rFonts w:ascii="Aptos" w:hAnsi="Aptos"/>
                <w:b w:val="0"/>
                <w:color w:val="232A33"/>
                <w:sz w:val="17"/>
              </w:rPr>
              <w:t>Missing values</w:t>
            </w:r>
          </w:p>
        </w:tc>
        <w:tc>
          <w:tcPr>
            <w:tcW w:type="dxa" w:w="3408"/>
            <w:vAlign w:val="center"/>
            <w:shd w:fill="F7F9FB"/>
          </w:tcPr>
          <w:p>
            <w:pPr>
              <w:jc w:val="left"/>
            </w:pPr>
            <w:r/>
            <w:r>
              <w:rPr>
                <w:rFonts w:ascii="Aptos" w:hAnsi="Aptos"/>
                <w:b w:val="0"/>
                <w:color w:val="232A33"/>
                <w:sz w:val="17"/>
              </w:rPr>
              <w:t>0</w:t>
            </w:r>
          </w:p>
        </w:tc>
        <w:tc>
          <w:tcPr>
            <w:tcW w:type="dxa" w:w="3408"/>
            <w:vAlign w:val="center"/>
            <w:shd w:fill="F7F9FB"/>
          </w:tcPr>
          <w:p>
            <w:pPr>
              <w:jc w:val="left"/>
            </w:pPr>
            <w:r/>
            <w:r>
              <w:rPr>
                <w:rFonts w:ascii="Aptos" w:hAnsi="Aptos"/>
                <w:b w:val="0"/>
                <w:color w:val="232A33"/>
                <w:sz w:val="17"/>
              </w:rPr>
              <w:t>No missing values detected</w:t>
            </w:r>
          </w:p>
        </w:tc>
      </w:tr>
      <w:tr>
        <w:tc>
          <w:tcPr>
            <w:tcW w:type="dxa" w:w="3408"/>
            <w:vAlign w:val="center"/>
            <w:shd w:fill="FFFFFF"/>
          </w:tcPr>
          <w:p>
            <w:pPr>
              <w:jc w:val="left"/>
            </w:pPr>
            <w:r/>
            <w:r>
              <w:rPr>
                <w:rFonts w:ascii="Aptos" w:hAnsi="Aptos"/>
                <w:b w:val="0"/>
                <w:color w:val="232A33"/>
                <w:sz w:val="17"/>
              </w:rPr>
              <w:t>Duplicate rows</w:t>
            </w:r>
          </w:p>
        </w:tc>
        <w:tc>
          <w:tcPr>
            <w:tcW w:type="dxa" w:w="3408"/>
            <w:vAlign w:val="center"/>
            <w:shd w:fill="FFFFFF"/>
          </w:tcPr>
          <w:p>
            <w:pPr>
              <w:jc w:val="left"/>
            </w:pPr>
            <w:r/>
            <w:r>
              <w:rPr>
                <w:rFonts w:ascii="Aptos" w:hAnsi="Aptos"/>
                <w:b w:val="0"/>
                <w:color w:val="232A33"/>
                <w:sz w:val="17"/>
              </w:rPr>
              <w:t>0</w:t>
            </w:r>
          </w:p>
        </w:tc>
        <w:tc>
          <w:tcPr>
            <w:tcW w:type="dxa" w:w="3408"/>
            <w:vAlign w:val="center"/>
            <w:shd w:fill="FFFFFF"/>
          </w:tcPr>
          <w:p>
            <w:pPr>
              <w:jc w:val="left"/>
            </w:pPr>
            <w:r/>
            <w:r>
              <w:rPr>
                <w:rFonts w:ascii="Aptos" w:hAnsi="Aptos"/>
                <w:b w:val="0"/>
                <w:color w:val="232A33"/>
                <w:sz w:val="17"/>
              </w:rPr>
              <w:t>No exact duplicate records detected</w:t>
            </w:r>
          </w:p>
        </w:tc>
      </w:tr>
      <w:tr>
        <w:tc>
          <w:tcPr>
            <w:tcW w:type="dxa" w:w="3408"/>
            <w:vAlign w:val="center"/>
            <w:shd w:fill="F7F9FB"/>
          </w:tcPr>
          <w:p>
            <w:pPr>
              <w:jc w:val="left"/>
            </w:pPr>
            <w:r/>
            <w:r>
              <w:rPr>
                <w:rFonts w:ascii="Aptos" w:hAnsi="Aptos"/>
                <w:b w:val="0"/>
                <w:color w:val="232A33"/>
                <w:sz w:val="17"/>
              </w:rPr>
              <w:t>Target classes</w:t>
            </w:r>
          </w:p>
        </w:tc>
        <w:tc>
          <w:tcPr>
            <w:tcW w:type="dxa" w:w="3408"/>
            <w:vAlign w:val="center"/>
            <w:shd w:fill="F7F9FB"/>
          </w:tcPr>
          <w:p>
            <w:pPr>
              <w:jc w:val="left"/>
            </w:pPr>
            <w:r/>
            <w:r>
              <w:rPr>
                <w:rFonts w:ascii="Aptos" w:hAnsi="Aptos"/>
                <w:b w:val="0"/>
                <w:color w:val="232A33"/>
                <w:sz w:val="17"/>
              </w:rPr>
              <w:t>500 No / 500 Yes</w:t>
            </w:r>
          </w:p>
        </w:tc>
        <w:tc>
          <w:tcPr>
            <w:tcW w:type="dxa" w:w="3408"/>
            <w:vAlign w:val="center"/>
            <w:shd w:fill="F7F9FB"/>
          </w:tcPr>
          <w:p>
            <w:pPr>
              <w:jc w:val="left"/>
            </w:pPr>
            <w:r/>
            <w:r>
              <w:rPr>
                <w:rFonts w:ascii="Aptos" w:hAnsi="Aptos"/>
                <w:b w:val="0"/>
                <w:color w:val="232A33"/>
                <w:sz w:val="17"/>
              </w:rPr>
              <w:t>Balanced binary target</w:t>
            </w:r>
          </w:p>
        </w:tc>
      </w:tr>
    </w:tbl>
    <w:p>
      <w:pPr>
        <w:spacing w:after="80"/>
      </w:pPr>
      <w:r>
        <w:rPr>
          <w:b/>
        </w:rPr>
        <w:t xml:space="preserve">Conclusion: </w:t>
      </w:r>
      <w:r>
        <w:t>The dataset is complete, contains no duplicate rows, and has a perfectly balanced binary target.</w:t>
      </w:r>
    </w:p>
    <w:p>
      <w:pPr>
        <w:pStyle w:val="Heading1"/>
        <w:spacing w:after="80"/>
      </w:pPr>
      <w:r>
        <w:t>4. Target Distribution</w:t>
      </w:r>
    </w:p>
    <w:p>
      <w:pPr>
        <w:spacing w:after="80"/>
      </w:pPr>
      <w:r>
        <w:drawing>
          <wp:inline xmlns:a="http://schemas.openxmlformats.org/drawingml/2006/main" xmlns:pic="http://schemas.openxmlformats.org/drawingml/2006/picture">
            <wp:extent cx="5212080" cy="3085702"/>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212080" cy="3085702"/>
                    </a:xfrm>
                    <a:prstGeom prst="rect"/>
                  </pic:spPr>
                </pic:pic>
              </a:graphicData>
            </a:graphic>
          </wp:inline>
        </w:drawing>
      </w:r>
    </w:p>
    <w:p>
      <w:pPr>
        <w:spacing w:after="80"/>
        <w:jc w:val="center"/>
      </w:pPr>
      <w:r>
        <w:rPr>
          <w:i/>
          <w:color w:val="5F6976"/>
          <w:sz w:val="17"/>
        </w:rPr>
        <w:t>Figure 1. Target-class distribution: 500 Not At Risk and 500 At Risk students.</w:t>
      </w:r>
    </w:p>
    <w:p>
      <w:pPr>
        <w:spacing w:after="80"/>
      </w:pPr>
      <w:r>
        <w:rPr>
          <w:b/>
        </w:rPr>
        <w:t xml:space="preserve">Finding: </w:t>
      </w:r>
      <w:r>
        <w:t>The two target classes are equally represented, which is helpful for the baseline classification experiment.</w:t>
      </w:r>
    </w:p>
    <w:p>
      <w:pPr>
        <w:spacing w:after="80"/>
      </w:pPr>
      <w:r>
        <w:br w:type="page"/>
      </w:r>
    </w:p>
    <w:p>
      <w:pPr>
        <w:pStyle w:val="Heading1"/>
        <w:spacing w:after="80"/>
      </w:pPr>
      <w:r>
        <w:t>5. Numerical Feature Distributions</w:t>
      </w:r>
    </w:p>
    <w:p>
      <w:pPr>
        <w:spacing w:after="80"/>
      </w:pPr>
      <w:r>
        <w:drawing>
          <wp:inline xmlns:a="http://schemas.openxmlformats.org/drawingml/2006/main" xmlns:pic="http://schemas.openxmlformats.org/drawingml/2006/picture">
            <wp:extent cx="5943600" cy="3900398"/>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943600" cy="3900398"/>
                    </a:xfrm>
                    <a:prstGeom prst="rect"/>
                  </pic:spPr>
                </pic:pic>
              </a:graphicData>
            </a:graphic>
          </wp:inline>
        </w:drawing>
      </w:r>
    </w:p>
    <w:p>
      <w:pPr>
        <w:spacing w:after="80"/>
        <w:jc w:val="center"/>
      </w:pPr>
      <w:r>
        <w:rPr>
          <w:i/>
          <w:color w:val="5F6976"/>
          <w:sz w:val="17"/>
        </w:rPr>
        <w:t>Figure 2. Distribution of the six numerical academic input features.</w:t>
      </w:r>
    </w:p>
    <w:p>
      <w:pPr>
        <w:pStyle w:val="Heading2"/>
        <w:spacing w:after="80"/>
      </w:pPr>
      <w:r>
        <w:t>Descriptive Statistics</w:t>
      </w:r>
    </w:p>
    <w:tbl>
      <w:tblPr>
        <w:tblW w:type="auto" w:w="0"/>
        <w:tblLook w:firstColumn="1" w:firstRow="1" w:lastColumn="0" w:lastRow="0" w:noHBand="0" w:noVBand="1" w:val="04A0"/>
      </w:tblPr>
      <w:tblGrid>
        <w:gridCol w:w="1704"/>
        <w:gridCol w:w="1704"/>
        <w:gridCol w:w="1704"/>
        <w:gridCol w:w="1704"/>
        <w:gridCol w:w="1704"/>
        <w:gridCol w:w="1704"/>
      </w:tblGrid>
      <w:tr>
        <w:tc>
          <w:tcPr>
            <w:tcW w:type="dxa" w:w="1704"/>
            <w:vAlign w:val="center"/>
            <w:shd w:fill="266B78"/>
          </w:tcPr>
          <w:p>
            <w:pPr>
              <w:jc w:val="center"/>
            </w:pPr>
            <w:r/>
            <w:r>
              <w:rPr>
                <w:rFonts w:ascii="Aptos" w:hAnsi="Aptos"/>
                <w:b/>
                <w:color w:val="FFFFFF"/>
                <w:sz w:val="16"/>
              </w:rPr>
              <w:t>Feature</w:t>
            </w:r>
          </w:p>
        </w:tc>
        <w:tc>
          <w:tcPr>
            <w:tcW w:type="dxa" w:w="1704"/>
            <w:vAlign w:val="center"/>
            <w:shd w:fill="266B78"/>
          </w:tcPr>
          <w:p>
            <w:pPr>
              <w:jc w:val="center"/>
            </w:pPr>
            <w:r/>
            <w:r>
              <w:rPr>
                <w:rFonts w:ascii="Aptos" w:hAnsi="Aptos"/>
                <w:b/>
                <w:color w:val="FFFFFF"/>
                <w:sz w:val="16"/>
              </w:rPr>
              <w:t>Mean</w:t>
            </w:r>
          </w:p>
        </w:tc>
        <w:tc>
          <w:tcPr>
            <w:tcW w:type="dxa" w:w="1704"/>
            <w:vAlign w:val="center"/>
            <w:shd w:fill="266B78"/>
          </w:tcPr>
          <w:p>
            <w:pPr>
              <w:jc w:val="center"/>
            </w:pPr>
            <w:r/>
            <w:r>
              <w:rPr>
                <w:rFonts w:ascii="Aptos" w:hAnsi="Aptos"/>
                <w:b/>
                <w:color w:val="FFFFFF"/>
                <w:sz w:val="16"/>
              </w:rPr>
              <w:t>Std</w:t>
            </w:r>
          </w:p>
        </w:tc>
        <w:tc>
          <w:tcPr>
            <w:tcW w:type="dxa" w:w="1704"/>
            <w:vAlign w:val="center"/>
            <w:shd w:fill="266B78"/>
          </w:tcPr>
          <w:p>
            <w:pPr>
              <w:jc w:val="center"/>
            </w:pPr>
            <w:r/>
            <w:r>
              <w:rPr>
                <w:rFonts w:ascii="Aptos" w:hAnsi="Aptos"/>
                <w:b/>
                <w:color w:val="FFFFFF"/>
                <w:sz w:val="16"/>
              </w:rPr>
              <w:t>Min</w:t>
            </w:r>
          </w:p>
        </w:tc>
        <w:tc>
          <w:tcPr>
            <w:tcW w:type="dxa" w:w="1704"/>
            <w:vAlign w:val="center"/>
            <w:shd w:fill="266B78"/>
          </w:tcPr>
          <w:p>
            <w:pPr>
              <w:jc w:val="center"/>
            </w:pPr>
            <w:r/>
            <w:r>
              <w:rPr>
                <w:rFonts w:ascii="Aptos" w:hAnsi="Aptos"/>
                <w:b/>
                <w:color w:val="FFFFFF"/>
                <w:sz w:val="16"/>
              </w:rPr>
              <w:t>Median</w:t>
            </w:r>
          </w:p>
        </w:tc>
        <w:tc>
          <w:tcPr>
            <w:tcW w:type="dxa" w:w="1704"/>
            <w:vAlign w:val="center"/>
            <w:shd w:fill="266B78"/>
          </w:tcPr>
          <w:p>
            <w:pPr>
              <w:jc w:val="center"/>
            </w:pPr>
            <w:r/>
            <w:r>
              <w:rPr>
                <w:rFonts w:ascii="Aptos" w:hAnsi="Aptos"/>
                <w:b/>
                <w:color w:val="FFFFFF"/>
                <w:sz w:val="16"/>
              </w:rPr>
              <w:t>Max</w:t>
            </w:r>
          </w:p>
        </w:tc>
      </w:tr>
      <w:tr>
        <w:tc>
          <w:tcPr>
            <w:tcW w:type="dxa" w:w="1704"/>
            <w:vAlign w:val="center"/>
            <w:shd w:fill="FFFFFF"/>
          </w:tcPr>
          <w:p>
            <w:pPr>
              <w:jc w:val="left"/>
            </w:pPr>
            <w:r/>
            <w:r>
              <w:rPr>
                <w:rFonts w:ascii="Aptos" w:hAnsi="Aptos"/>
                <w:b w:val="0"/>
                <w:color w:val="232A33"/>
                <w:sz w:val="15"/>
              </w:rPr>
              <w:t>Attendance Percentage</w:t>
            </w:r>
          </w:p>
        </w:tc>
        <w:tc>
          <w:tcPr>
            <w:tcW w:type="dxa" w:w="1704"/>
            <w:vAlign w:val="center"/>
            <w:shd w:fill="FFFFFF"/>
          </w:tcPr>
          <w:p>
            <w:pPr>
              <w:jc w:val="center"/>
            </w:pPr>
            <w:r/>
            <w:r>
              <w:rPr>
                <w:rFonts w:ascii="Aptos" w:hAnsi="Aptos"/>
                <w:b w:val="0"/>
                <w:color w:val="232A33"/>
                <w:sz w:val="15"/>
              </w:rPr>
              <w:t>74.60</w:t>
            </w:r>
          </w:p>
        </w:tc>
        <w:tc>
          <w:tcPr>
            <w:tcW w:type="dxa" w:w="1704"/>
            <w:vAlign w:val="center"/>
            <w:shd w:fill="FFFFFF"/>
          </w:tcPr>
          <w:p>
            <w:pPr>
              <w:jc w:val="center"/>
            </w:pPr>
            <w:r/>
            <w:r>
              <w:rPr>
                <w:rFonts w:ascii="Aptos" w:hAnsi="Aptos"/>
                <w:b w:val="0"/>
                <w:color w:val="232A33"/>
                <w:sz w:val="15"/>
              </w:rPr>
              <w:t>11.68</w:t>
            </w:r>
          </w:p>
        </w:tc>
        <w:tc>
          <w:tcPr>
            <w:tcW w:type="dxa" w:w="1704"/>
            <w:vAlign w:val="center"/>
            <w:shd w:fill="FFFFFF"/>
          </w:tcPr>
          <w:p>
            <w:pPr>
              <w:jc w:val="center"/>
            </w:pPr>
            <w:r/>
            <w:r>
              <w:rPr>
                <w:rFonts w:ascii="Aptos" w:hAnsi="Aptos"/>
                <w:b w:val="0"/>
                <w:color w:val="232A33"/>
                <w:sz w:val="15"/>
              </w:rPr>
              <w:t>40.00</w:t>
            </w:r>
          </w:p>
        </w:tc>
        <w:tc>
          <w:tcPr>
            <w:tcW w:type="dxa" w:w="1704"/>
            <w:vAlign w:val="center"/>
            <w:shd w:fill="FFFFFF"/>
          </w:tcPr>
          <w:p>
            <w:pPr>
              <w:jc w:val="center"/>
            </w:pPr>
            <w:r/>
            <w:r>
              <w:rPr>
                <w:rFonts w:ascii="Aptos" w:hAnsi="Aptos"/>
                <w:b w:val="0"/>
                <w:color w:val="232A33"/>
                <w:sz w:val="15"/>
              </w:rPr>
              <w:t>75.10</w:t>
            </w:r>
          </w:p>
        </w:tc>
        <w:tc>
          <w:tcPr>
            <w:tcW w:type="dxa" w:w="1704"/>
            <w:vAlign w:val="center"/>
            <w:shd w:fill="FFFFFF"/>
          </w:tcPr>
          <w:p>
            <w:pPr>
              <w:jc w:val="center"/>
            </w:pPr>
            <w:r/>
            <w:r>
              <w:rPr>
                <w:rFonts w:ascii="Aptos" w:hAnsi="Aptos"/>
                <w:b w:val="0"/>
                <w:color w:val="232A33"/>
                <w:sz w:val="15"/>
              </w:rPr>
              <w:t>100.00</w:t>
            </w:r>
          </w:p>
        </w:tc>
      </w:tr>
      <w:tr>
        <w:tc>
          <w:tcPr>
            <w:tcW w:type="dxa" w:w="1704"/>
            <w:vAlign w:val="center"/>
            <w:shd w:fill="F7F9FB"/>
          </w:tcPr>
          <w:p>
            <w:pPr>
              <w:jc w:val="left"/>
            </w:pPr>
            <w:r/>
            <w:r>
              <w:rPr>
                <w:rFonts w:ascii="Aptos" w:hAnsi="Aptos"/>
                <w:b w:val="0"/>
                <w:color w:val="232A33"/>
                <w:sz w:val="15"/>
              </w:rPr>
              <w:t>Previous Grades</w:t>
            </w:r>
          </w:p>
        </w:tc>
        <w:tc>
          <w:tcPr>
            <w:tcW w:type="dxa" w:w="1704"/>
            <w:vAlign w:val="center"/>
            <w:shd w:fill="F7F9FB"/>
          </w:tcPr>
          <w:p>
            <w:pPr>
              <w:jc w:val="center"/>
            </w:pPr>
            <w:r/>
            <w:r>
              <w:rPr>
                <w:rFonts w:ascii="Aptos" w:hAnsi="Aptos"/>
                <w:b w:val="0"/>
                <w:color w:val="232A33"/>
                <w:sz w:val="15"/>
              </w:rPr>
              <w:t>63.81</w:t>
            </w:r>
          </w:p>
        </w:tc>
        <w:tc>
          <w:tcPr>
            <w:tcW w:type="dxa" w:w="1704"/>
            <w:vAlign w:val="center"/>
            <w:shd w:fill="F7F9FB"/>
          </w:tcPr>
          <w:p>
            <w:pPr>
              <w:jc w:val="center"/>
            </w:pPr>
            <w:r/>
            <w:r>
              <w:rPr>
                <w:rFonts w:ascii="Aptos" w:hAnsi="Aptos"/>
                <w:b w:val="0"/>
                <w:color w:val="232A33"/>
                <w:sz w:val="15"/>
              </w:rPr>
              <w:t>14.98</w:t>
            </w:r>
          </w:p>
        </w:tc>
        <w:tc>
          <w:tcPr>
            <w:tcW w:type="dxa" w:w="1704"/>
            <w:vAlign w:val="center"/>
            <w:shd w:fill="F7F9FB"/>
          </w:tcPr>
          <w:p>
            <w:pPr>
              <w:jc w:val="center"/>
            </w:pPr>
            <w:r/>
            <w:r>
              <w:rPr>
                <w:rFonts w:ascii="Aptos" w:hAnsi="Aptos"/>
                <w:b w:val="0"/>
                <w:color w:val="232A33"/>
                <w:sz w:val="15"/>
              </w:rPr>
              <w:t>30.00</w:t>
            </w:r>
          </w:p>
        </w:tc>
        <w:tc>
          <w:tcPr>
            <w:tcW w:type="dxa" w:w="1704"/>
            <w:vAlign w:val="center"/>
            <w:shd w:fill="F7F9FB"/>
          </w:tcPr>
          <w:p>
            <w:pPr>
              <w:jc w:val="center"/>
            </w:pPr>
            <w:r/>
            <w:r>
              <w:rPr>
                <w:rFonts w:ascii="Aptos" w:hAnsi="Aptos"/>
                <w:b w:val="0"/>
                <w:color w:val="232A33"/>
                <w:sz w:val="15"/>
              </w:rPr>
              <w:t>64.35</w:t>
            </w:r>
          </w:p>
        </w:tc>
        <w:tc>
          <w:tcPr>
            <w:tcW w:type="dxa" w:w="1704"/>
            <w:vAlign w:val="center"/>
            <w:shd w:fill="F7F9FB"/>
          </w:tcPr>
          <w:p>
            <w:pPr>
              <w:jc w:val="center"/>
            </w:pPr>
            <w:r/>
            <w:r>
              <w:rPr>
                <w:rFonts w:ascii="Aptos" w:hAnsi="Aptos"/>
                <w:b w:val="0"/>
                <w:color w:val="232A33"/>
                <w:sz w:val="15"/>
              </w:rPr>
              <w:t>100.00</w:t>
            </w:r>
          </w:p>
        </w:tc>
      </w:tr>
      <w:tr>
        <w:tc>
          <w:tcPr>
            <w:tcW w:type="dxa" w:w="1704"/>
            <w:vAlign w:val="center"/>
            <w:shd w:fill="FFFFFF"/>
          </w:tcPr>
          <w:p>
            <w:pPr>
              <w:jc w:val="left"/>
            </w:pPr>
            <w:r/>
            <w:r>
              <w:rPr>
                <w:rFonts w:ascii="Aptos" w:hAnsi="Aptos"/>
                <w:b w:val="0"/>
                <w:color w:val="232A33"/>
                <w:sz w:val="15"/>
              </w:rPr>
              <w:t>Assignment Performance</w:t>
            </w:r>
          </w:p>
        </w:tc>
        <w:tc>
          <w:tcPr>
            <w:tcW w:type="dxa" w:w="1704"/>
            <w:vAlign w:val="center"/>
            <w:shd w:fill="FFFFFF"/>
          </w:tcPr>
          <w:p>
            <w:pPr>
              <w:jc w:val="center"/>
            </w:pPr>
            <w:r/>
            <w:r>
              <w:rPr>
                <w:rFonts w:ascii="Aptos" w:hAnsi="Aptos"/>
                <w:b w:val="0"/>
                <w:color w:val="232A33"/>
                <w:sz w:val="15"/>
              </w:rPr>
              <w:t>68.41</w:t>
            </w:r>
          </w:p>
        </w:tc>
        <w:tc>
          <w:tcPr>
            <w:tcW w:type="dxa" w:w="1704"/>
            <w:vAlign w:val="center"/>
            <w:shd w:fill="FFFFFF"/>
          </w:tcPr>
          <w:p>
            <w:pPr>
              <w:jc w:val="center"/>
            </w:pPr>
            <w:r/>
            <w:r>
              <w:rPr>
                <w:rFonts w:ascii="Aptos" w:hAnsi="Aptos"/>
                <w:b w:val="0"/>
                <w:color w:val="232A33"/>
                <w:sz w:val="15"/>
              </w:rPr>
              <w:t>14.92</w:t>
            </w:r>
          </w:p>
        </w:tc>
        <w:tc>
          <w:tcPr>
            <w:tcW w:type="dxa" w:w="1704"/>
            <w:vAlign w:val="center"/>
            <w:shd w:fill="FFFFFF"/>
          </w:tcPr>
          <w:p>
            <w:pPr>
              <w:jc w:val="center"/>
            </w:pPr>
            <w:r/>
            <w:r>
              <w:rPr>
                <w:rFonts w:ascii="Aptos" w:hAnsi="Aptos"/>
                <w:b w:val="0"/>
                <w:color w:val="232A33"/>
                <w:sz w:val="15"/>
              </w:rPr>
              <w:t>30.00</w:t>
            </w:r>
          </w:p>
        </w:tc>
        <w:tc>
          <w:tcPr>
            <w:tcW w:type="dxa" w:w="1704"/>
            <w:vAlign w:val="center"/>
            <w:shd w:fill="FFFFFF"/>
          </w:tcPr>
          <w:p>
            <w:pPr>
              <w:jc w:val="center"/>
            </w:pPr>
            <w:r/>
            <w:r>
              <w:rPr>
                <w:rFonts w:ascii="Aptos" w:hAnsi="Aptos"/>
                <w:b w:val="0"/>
                <w:color w:val="232A33"/>
                <w:sz w:val="15"/>
              </w:rPr>
              <w:t>68.55</w:t>
            </w:r>
          </w:p>
        </w:tc>
        <w:tc>
          <w:tcPr>
            <w:tcW w:type="dxa" w:w="1704"/>
            <w:vAlign w:val="center"/>
            <w:shd w:fill="FFFFFF"/>
          </w:tcPr>
          <w:p>
            <w:pPr>
              <w:jc w:val="center"/>
            </w:pPr>
            <w:r/>
            <w:r>
              <w:rPr>
                <w:rFonts w:ascii="Aptos" w:hAnsi="Aptos"/>
                <w:b w:val="0"/>
                <w:color w:val="232A33"/>
                <w:sz w:val="15"/>
              </w:rPr>
              <w:t>100.00</w:t>
            </w:r>
          </w:p>
        </w:tc>
      </w:tr>
      <w:tr>
        <w:tc>
          <w:tcPr>
            <w:tcW w:type="dxa" w:w="1704"/>
            <w:vAlign w:val="center"/>
            <w:shd w:fill="F7F9FB"/>
          </w:tcPr>
          <w:p>
            <w:pPr>
              <w:jc w:val="left"/>
            </w:pPr>
            <w:r/>
            <w:r>
              <w:rPr>
                <w:rFonts w:ascii="Aptos" w:hAnsi="Aptos"/>
                <w:b w:val="0"/>
                <w:color w:val="232A33"/>
                <w:sz w:val="15"/>
              </w:rPr>
              <w:t>Internal Marks</w:t>
            </w:r>
          </w:p>
        </w:tc>
        <w:tc>
          <w:tcPr>
            <w:tcW w:type="dxa" w:w="1704"/>
            <w:vAlign w:val="center"/>
            <w:shd w:fill="F7F9FB"/>
          </w:tcPr>
          <w:p>
            <w:pPr>
              <w:jc w:val="center"/>
            </w:pPr>
            <w:r/>
            <w:r>
              <w:rPr>
                <w:rFonts w:ascii="Aptos" w:hAnsi="Aptos"/>
                <w:b w:val="0"/>
                <w:color w:val="232A33"/>
                <w:sz w:val="15"/>
              </w:rPr>
              <w:t>65.93</w:t>
            </w:r>
          </w:p>
        </w:tc>
        <w:tc>
          <w:tcPr>
            <w:tcW w:type="dxa" w:w="1704"/>
            <w:vAlign w:val="center"/>
            <w:shd w:fill="F7F9FB"/>
          </w:tcPr>
          <w:p>
            <w:pPr>
              <w:jc w:val="center"/>
            </w:pPr>
            <w:r/>
            <w:r>
              <w:rPr>
                <w:rFonts w:ascii="Aptos" w:hAnsi="Aptos"/>
                <w:b w:val="0"/>
                <w:color w:val="232A33"/>
                <w:sz w:val="15"/>
              </w:rPr>
              <w:t>13.54</w:t>
            </w:r>
          </w:p>
        </w:tc>
        <w:tc>
          <w:tcPr>
            <w:tcW w:type="dxa" w:w="1704"/>
            <w:vAlign w:val="center"/>
            <w:shd w:fill="F7F9FB"/>
          </w:tcPr>
          <w:p>
            <w:pPr>
              <w:jc w:val="center"/>
            </w:pPr>
            <w:r/>
            <w:r>
              <w:rPr>
                <w:rFonts w:ascii="Aptos" w:hAnsi="Aptos"/>
                <w:b w:val="0"/>
                <w:color w:val="232A33"/>
                <w:sz w:val="15"/>
              </w:rPr>
              <w:t>27.50</w:t>
            </w:r>
          </w:p>
        </w:tc>
        <w:tc>
          <w:tcPr>
            <w:tcW w:type="dxa" w:w="1704"/>
            <w:vAlign w:val="center"/>
            <w:shd w:fill="F7F9FB"/>
          </w:tcPr>
          <w:p>
            <w:pPr>
              <w:jc w:val="center"/>
            </w:pPr>
            <w:r/>
            <w:r>
              <w:rPr>
                <w:rFonts w:ascii="Aptos" w:hAnsi="Aptos"/>
                <w:b w:val="0"/>
                <w:color w:val="232A33"/>
                <w:sz w:val="15"/>
              </w:rPr>
              <w:t>65.90</w:t>
            </w:r>
          </w:p>
        </w:tc>
        <w:tc>
          <w:tcPr>
            <w:tcW w:type="dxa" w:w="1704"/>
            <w:vAlign w:val="center"/>
            <w:shd w:fill="F7F9FB"/>
          </w:tcPr>
          <w:p>
            <w:pPr>
              <w:jc w:val="center"/>
            </w:pPr>
            <w:r/>
            <w:r>
              <w:rPr>
                <w:rFonts w:ascii="Aptos" w:hAnsi="Aptos"/>
                <w:b w:val="0"/>
                <w:color w:val="232A33"/>
                <w:sz w:val="15"/>
              </w:rPr>
              <w:t>100.00</w:t>
            </w:r>
          </w:p>
        </w:tc>
      </w:tr>
      <w:tr>
        <w:tc>
          <w:tcPr>
            <w:tcW w:type="dxa" w:w="1704"/>
            <w:vAlign w:val="center"/>
            <w:shd w:fill="FFFFFF"/>
          </w:tcPr>
          <w:p>
            <w:pPr>
              <w:jc w:val="left"/>
            </w:pPr>
            <w:r/>
            <w:r>
              <w:rPr>
                <w:rFonts w:ascii="Aptos" w:hAnsi="Aptos"/>
                <w:b w:val="0"/>
                <w:color w:val="232A33"/>
                <w:sz w:val="15"/>
              </w:rPr>
              <w:t>Participation Score</w:t>
            </w:r>
          </w:p>
        </w:tc>
        <w:tc>
          <w:tcPr>
            <w:tcW w:type="dxa" w:w="1704"/>
            <w:vAlign w:val="center"/>
            <w:shd w:fill="FFFFFF"/>
          </w:tcPr>
          <w:p>
            <w:pPr>
              <w:jc w:val="center"/>
            </w:pPr>
            <w:r/>
            <w:r>
              <w:rPr>
                <w:rFonts w:ascii="Aptos" w:hAnsi="Aptos"/>
                <w:b w:val="0"/>
                <w:color w:val="232A33"/>
                <w:sz w:val="15"/>
              </w:rPr>
              <w:t>5.95</w:t>
            </w:r>
          </w:p>
        </w:tc>
        <w:tc>
          <w:tcPr>
            <w:tcW w:type="dxa" w:w="1704"/>
            <w:vAlign w:val="center"/>
            <w:shd w:fill="FFFFFF"/>
          </w:tcPr>
          <w:p>
            <w:pPr>
              <w:jc w:val="center"/>
            </w:pPr>
            <w:r/>
            <w:r>
              <w:rPr>
                <w:rFonts w:ascii="Aptos" w:hAnsi="Aptos"/>
                <w:b w:val="0"/>
                <w:color w:val="232A33"/>
                <w:sz w:val="15"/>
              </w:rPr>
              <w:t>1.94</w:t>
            </w:r>
          </w:p>
        </w:tc>
        <w:tc>
          <w:tcPr>
            <w:tcW w:type="dxa" w:w="1704"/>
            <w:vAlign w:val="center"/>
            <w:shd w:fill="FFFFFF"/>
          </w:tcPr>
          <w:p>
            <w:pPr>
              <w:jc w:val="center"/>
            </w:pPr>
            <w:r/>
            <w:r>
              <w:rPr>
                <w:rFonts w:ascii="Aptos" w:hAnsi="Aptos"/>
                <w:b w:val="0"/>
                <w:color w:val="232A33"/>
                <w:sz w:val="15"/>
              </w:rPr>
              <w:t>1.00</w:t>
            </w:r>
          </w:p>
        </w:tc>
        <w:tc>
          <w:tcPr>
            <w:tcW w:type="dxa" w:w="1704"/>
            <w:vAlign w:val="center"/>
            <w:shd w:fill="FFFFFF"/>
          </w:tcPr>
          <w:p>
            <w:pPr>
              <w:jc w:val="center"/>
            </w:pPr>
            <w:r/>
            <w:r>
              <w:rPr>
                <w:rFonts w:ascii="Aptos" w:hAnsi="Aptos"/>
                <w:b w:val="0"/>
                <w:color w:val="232A33"/>
                <w:sz w:val="15"/>
              </w:rPr>
              <w:t>6.00</w:t>
            </w:r>
          </w:p>
        </w:tc>
        <w:tc>
          <w:tcPr>
            <w:tcW w:type="dxa" w:w="1704"/>
            <w:vAlign w:val="center"/>
            <w:shd w:fill="FFFFFF"/>
          </w:tcPr>
          <w:p>
            <w:pPr>
              <w:jc w:val="center"/>
            </w:pPr>
            <w:r/>
            <w:r>
              <w:rPr>
                <w:rFonts w:ascii="Aptos" w:hAnsi="Aptos"/>
                <w:b w:val="0"/>
                <w:color w:val="232A33"/>
                <w:sz w:val="15"/>
              </w:rPr>
              <w:t>10.00</w:t>
            </w:r>
          </w:p>
        </w:tc>
      </w:tr>
      <w:tr>
        <w:tc>
          <w:tcPr>
            <w:tcW w:type="dxa" w:w="1704"/>
            <w:vAlign w:val="center"/>
            <w:shd w:fill="F7F9FB"/>
          </w:tcPr>
          <w:p>
            <w:pPr>
              <w:jc w:val="left"/>
            </w:pPr>
            <w:r/>
            <w:r>
              <w:rPr>
                <w:rFonts w:ascii="Aptos" w:hAnsi="Aptos"/>
                <w:b w:val="0"/>
                <w:color w:val="232A33"/>
                <w:sz w:val="15"/>
              </w:rPr>
              <w:t>Backlog Subjects</w:t>
            </w:r>
          </w:p>
        </w:tc>
        <w:tc>
          <w:tcPr>
            <w:tcW w:type="dxa" w:w="1704"/>
            <w:vAlign w:val="center"/>
            <w:shd w:fill="F7F9FB"/>
          </w:tcPr>
          <w:p>
            <w:pPr>
              <w:jc w:val="center"/>
            </w:pPr>
            <w:r/>
            <w:r>
              <w:rPr>
                <w:rFonts w:ascii="Aptos" w:hAnsi="Aptos"/>
                <w:b w:val="0"/>
                <w:color w:val="232A33"/>
                <w:sz w:val="15"/>
              </w:rPr>
              <w:t>1.18</w:t>
            </w:r>
          </w:p>
        </w:tc>
        <w:tc>
          <w:tcPr>
            <w:tcW w:type="dxa" w:w="1704"/>
            <w:vAlign w:val="center"/>
            <w:shd w:fill="F7F9FB"/>
          </w:tcPr>
          <w:p>
            <w:pPr>
              <w:jc w:val="center"/>
            </w:pPr>
            <w:r/>
            <w:r>
              <w:rPr>
                <w:rFonts w:ascii="Aptos" w:hAnsi="Aptos"/>
                <w:b w:val="0"/>
                <w:color w:val="232A33"/>
                <w:sz w:val="15"/>
              </w:rPr>
              <w:t>1.06</w:t>
            </w:r>
          </w:p>
        </w:tc>
        <w:tc>
          <w:tcPr>
            <w:tcW w:type="dxa" w:w="1704"/>
            <w:vAlign w:val="center"/>
            <w:shd w:fill="F7F9FB"/>
          </w:tcPr>
          <w:p>
            <w:pPr>
              <w:jc w:val="center"/>
            </w:pPr>
            <w:r/>
            <w:r>
              <w:rPr>
                <w:rFonts w:ascii="Aptos" w:hAnsi="Aptos"/>
                <w:b w:val="0"/>
                <w:color w:val="232A33"/>
                <w:sz w:val="15"/>
              </w:rPr>
              <w:t>0.00</w:t>
            </w:r>
          </w:p>
        </w:tc>
        <w:tc>
          <w:tcPr>
            <w:tcW w:type="dxa" w:w="1704"/>
            <w:vAlign w:val="center"/>
            <w:shd w:fill="F7F9FB"/>
          </w:tcPr>
          <w:p>
            <w:pPr>
              <w:jc w:val="center"/>
            </w:pPr>
            <w:r/>
            <w:r>
              <w:rPr>
                <w:rFonts w:ascii="Aptos" w:hAnsi="Aptos"/>
                <w:b w:val="0"/>
                <w:color w:val="232A33"/>
                <w:sz w:val="15"/>
              </w:rPr>
              <w:t>1.00</w:t>
            </w:r>
          </w:p>
        </w:tc>
        <w:tc>
          <w:tcPr>
            <w:tcW w:type="dxa" w:w="1704"/>
            <w:vAlign w:val="center"/>
            <w:shd w:fill="F7F9FB"/>
          </w:tcPr>
          <w:p>
            <w:pPr>
              <w:jc w:val="center"/>
            </w:pPr>
            <w:r/>
            <w:r>
              <w:rPr>
                <w:rFonts w:ascii="Aptos" w:hAnsi="Aptos"/>
                <w:b w:val="0"/>
                <w:color w:val="232A33"/>
                <w:sz w:val="15"/>
              </w:rPr>
              <w:t>5.00</w:t>
            </w:r>
          </w:p>
        </w:tc>
      </w:tr>
    </w:tbl>
    <w:p>
      <w:pPr>
        <w:spacing w:after="80"/>
      </w:pPr>
      <w:r>
        <w:rPr>
          <w:b/>
        </w:rPr>
        <w:t xml:space="preserve">EDA note: </w:t>
      </w:r>
      <w:r>
        <w:t>Each feature has a different numerical range, which is one reason StandardScaler is applied before Logistic Regression.</w:t>
      </w:r>
    </w:p>
    <w:p>
      <w:pPr>
        <w:spacing w:after="80"/>
      </w:pPr>
      <w:r>
        <w:br w:type="page"/>
      </w:r>
    </w:p>
    <w:p>
      <w:pPr>
        <w:pStyle w:val="Heading1"/>
        <w:spacing w:after="80"/>
      </w:pPr>
      <w:r>
        <w:t>6. Attendance Analysis</w:t>
      </w:r>
    </w:p>
    <w:p>
      <w:pPr>
        <w:spacing w:after="80"/>
      </w:pPr>
      <w:r>
        <w:drawing>
          <wp:inline xmlns:a="http://schemas.openxmlformats.org/drawingml/2006/main" xmlns:pic="http://schemas.openxmlformats.org/drawingml/2006/picture">
            <wp:extent cx="5394960" cy="3259772"/>
            <wp:docPr id="3" name="Picture 3"/>
            <wp:cNvGraphicFramePr>
              <a:graphicFrameLocks noChangeAspect="1"/>
            </wp:cNvGraphicFramePr>
            <a:graphic>
              <a:graphicData uri="http://schemas.openxmlformats.org/drawingml/2006/picture">
                <pic:pic>
                  <pic:nvPicPr>
                    <pic:cNvPr id="0" name="attendance_distribution.png"/>
                    <pic:cNvPicPr/>
                  </pic:nvPicPr>
                  <pic:blipFill>
                    <a:blip r:embed="rId11"/>
                    <a:stretch>
                      <a:fillRect/>
                    </a:stretch>
                  </pic:blipFill>
                  <pic:spPr>
                    <a:xfrm>
                      <a:off x="0" y="0"/>
                      <a:ext cx="5394960" cy="3259772"/>
                    </a:xfrm>
                    <a:prstGeom prst="rect"/>
                  </pic:spPr>
                </pic:pic>
              </a:graphicData>
            </a:graphic>
          </wp:inline>
        </w:drawing>
      </w:r>
    </w:p>
    <w:p>
      <w:pPr>
        <w:spacing w:after="80"/>
        <w:jc w:val="center"/>
      </w:pPr>
      <w:r>
        <w:rPr>
          <w:i/>
          <w:color w:val="5F6976"/>
          <w:sz w:val="17"/>
        </w:rPr>
        <w:t>Figure 3. Attendance distribution by risk class.</w:t>
      </w:r>
    </w:p>
    <w:p>
      <w:pPr>
        <w:spacing w:after="80"/>
      </w:pPr>
      <w:r>
        <w:rPr>
          <w:b/>
        </w:rPr>
        <w:t xml:space="preserve">Observation: </w:t>
      </w:r>
      <w:r>
        <w:t>Mean attendance is 78.73% for Not At Risk and 70.47% for At Risk. The distributions overlap, so attendance alone cannot perfectly separate the classes.</w:t>
      </w:r>
    </w:p>
    <w:p>
      <w:pPr>
        <w:pStyle w:val="Heading1"/>
        <w:spacing w:after="80"/>
      </w:pPr>
      <w:r>
        <w:t>7. Backlog Analysis</w:t>
      </w:r>
    </w:p>
    <w:p>
      <w:pPr>
        <w:spacing w:after="80"/>
      </w:pPr>
      <w:r>
        <w:drawing>
          <wp:inline xmlns:a="http://schemas.openxmlformats.org/drawingml/2006/main" xmlns:pic="http://schemas.openxmlformats.org/drawingml/2006/picture">
            <wp:extent cx="5120640" cy="3379622"/>
            <wp:docPr id="4" name="Picture 4"/>
            <wp:cNvGraphicFramePr>
              <a:graphicFrameLocks noChangeAspect="1"/>
            </wp:cNvGraphicFramePr>
            <a:graphic>
              <a:graphicData uri="http://schemas.openxmlformats.org/drawingml/2006/picture">
                <pic:pic>
                  <pic:nvPicPr>
                    <pic:cNvPr id="0" name="backlogs_boxplot.png"/>
                    <pic:cNvPicPr/>
                  </pic:nvPicPr>
                  <pic:blipFill>
                    <a:blip r:embed="rId12"/>
                    <a:stretch>
                      <a:fillRect/>
                    </a:stretch>
                  </pic:blipFill>
                  <pic:spPr>
                    <a:xfrm>
                      <a:off x="0" y="0"/>
                      <a:ext cx="5120640" cy="3379622"/>
                    </a:xfrm>
                    <a:prstGeom prst="rect"/>
                  </pic:spPr>
                </pic:pic>
              </a:graphicData>
            </a:graphic>
          </wp:inline>
        </w:drawing>
      </w:r>
    </w:p>
    <w:p>
      <w:pPr>
        <w:spacing w:after="80"/>
        <w:jc w:val="center"/>
      </w:pPr>
      <w:r>
        <w:rPr>
          <w:i/>
          <w:color w:val="5F6976"/>
          <w:sz w:val="17"/>
        </w:rPr>
        <w:t>Figure 4. Backlog subjects by risk class.</w:t>
      </w:r>
    </w:p>
    <w:p>
      <w:pPr>
        <w:spacing w:after="80"/>
      </w:pPr>
      <w:r>
        <w:rPr>
          <w:b/>
        </w:rPr>
        <w:t xml:space="preserve">Observation: </w:t>
      </w:r>
      <w:r>
        <w:t>Mean backlogs are 0.822 for Not At Risk and 1.532 for At Risk. The At Risk group shows a higher backlog tendency.</w:t>
      </w:r>
    </w:p>
    <w:p>
      <w:pPr>
        <w:pStyle w:val="Heading1"/>
        <w:spacing w:after="80"/>
      </w:pPr>
      <w:r>
        <w:t>8. Group-wise Academic Indicators</w:t>
      </w:r>
    </w:p>
    <w:tbl>
      <w:tblPr>
        <w:tblW w:type="auto" w:w="0"/>
        <w:tblLook w:firstColumn="1" w:firstRow="1" w:lastColumn="0" w:lastRow="0" w:noHBand="0" w:noVBand="1" w:val="04A0"/>
      </w:tblPr>
      <w:tblGrid>
        <w:gridCol w:w="3408"/>
        <w:gridCol w:w="3408"/>
        <w:gridCol w:w="3408"/>
      </w:tblGrid>
      <w:tr>
        <w:tc>
          <w:tcPr>
            <w:tcW w:type="dxa" w:w="3408"/>
            <w:vAlign w:val="center"/>
            <w:shd w:fill="2B5C91"/>
          </w:tcPr>
          <w:p>
            <w:pPr>
              <w:jc w:val="center"/>
            </w:pPr>
            <w:r/>
            <w:r>
              <w:rPr>
                <w:rFonts w:ascii="Aptos" w:hAnsi="Aptos"/>
                <w:b/>
                <w:color w:val="FFFFFF"/>
                <w:sz w:val="17"/>
              </w:rPr>
              <w:t>Feature</w:t>
            </w:r>
          </w:p>
        </w:tc>
        <w:tc>
          <w:tcPr>
            <w:tcW w:type="dxa" w:w="3408"/>
            <w:vAlign w:val="center"/>
            <w:shd w:fill="2B5C91"/>
          </w:tcPr>
          <w:p>
            <w:pPr>
              <w:jc w:val="center"/>
            </w:pPr>
            <w:r/>
            <w:r>
              <w:rPr>
                <w:rFonts w:ascii="Aptos" w:hAnsi="Aptos"/>
                <w:b/>
                <w:color w:val="FFFFFF"/>
                <w:sz w:val="17"/>
              </w:rPr>
              <w:t>Not At Risk Mean</w:t>
            </w:r>
          </w:p>
        </w:tc>
        <w:tc>
          <w:tcPr>
            <w:tcW w:type="dxa" w:w="3408"/>
            <w:vAlign w:val="center"/>
            <w:shd w:fill="2B5C91"/>
          </w:tcPr>
          <w:p>
            <w:pPr>
              <w:jc w:val="center"/>
            </w:pPr>
            <w:r/>
            <w:r>
              <w:rPr>
                <w:rFonts w:ascii="Aptos" w:hAnsi="Aptos"/>
                <w:b/>
                <w:color w:val="FFFFFF"/>
                <w:sz w:val="17"/>
              </w:rPr>
              <w:t>At Risk Mean</w:t>
            </w:r>
          </w:p>
        </w:tc>
      </w:tr>
      <w:tr>
        <w:tc>
          <w:tcPr>
            <w:tcW w:type="dxa" w:w="3408"/>
            <w:vAlign w:val="center"/>
            <w:shd w:fill="FFFFFF"/>
          </w:tcPr>
          <w:p>
            <w:pPr>
              <w:jc w:val="left"/>
            </w:pPr>
            <w:r/>
            <w:r>
              <w:rPr>
                <w:rFonts w:ascii="Aptos" w:hAnsi="Aptos"/>
                <w:b w:val="0"/>
                <w:color w:val="232A33"/>
                <w:sz w:val="16"/>
              </w:rPr>
              <w:t>Attendance Percentage</w:t>
            </w:r>
          </w:p>
        </w:tc>
        <w:tc>
          <w:tcPr>
            <w:tcW w:type="dxa" w:w="3408"/>
            <w:vAlign w:val="center"/>
            <w:shd w:fill="FFFFFF"/>
          </w:tcPr>
          <w:p>
            <w:pPr>
              <w:jc w:val="center"/>
            </w:pPr>
            <w:r/>
            <w:r>
              <w:rPr>
                <w:rFonts w:ascii="Aptos" w:hAnsi="Aptos"/>
                <w:b w:val="0"/>
                <w:color w:val="232A33"/>
                <w:sz w:val="16"/>
              </w:rPr>
              <w:t>78.73</w:t>
            </w:r>
          </w:p>
        </w:tc>
        <w:tc>
          <w:tcPr>
            <w:tcW w:type="dxa" w:w="3408"/>
            <w:vAlign w:val="center"/>
            <w:shd w:fill="FFFFFF"/>
          </w:tcPr>
          <w:p>
            <w:pPr>
              <w:jc w:val="center"/>
            </w:pPr>
            <w:r/>
            <w:r>
              <w:rPr>
                <w:rFonts w:ascii="Aptos" w:hAnsi="Aptos"/>
                <w:b w:val="0"/>
                <w:color w:val="232A33"/>
                <w:sz w:val="16"/>
              </w:rPr>
              <w:t>70.47</w:t>
            </w:r>
          </w:p>
        </w:tc>
      </w:tr>
      <w:tr>
        <w:tc>
          <w:tcPr>
            <w:tcW w:type="dxa" w:w="3408"/>
            <w:vAlign w:val="center"/>
            <w:shd w:fill="F7F9FB"/>
          </w:tcPr>
          <w:p>
            <w:pPr>
              <w:jc w:val="left"/>
            </w:pPr>
            <w:r/>
            <w:r>
              <w:rPr>
                <w:rFonts w:ascii="Aptos" w:hAnsi="Aptos"/>
                <w:b w:val="0"/>
                <w:color w:val="232A33"/>
                <w:sz w:val="16"/>
              </w:rPr>
              <w:t>Previous Grades</w:t>
            </w:r>
          </w:p>
        </w:tc>
        <w:tc>
          <w:tcPr>
            <w:tcW w:type="dxa" w:w="3408"/>
            <w:vAlign w:val="center"/>
            <w:shd w:fill="F7F9FB"/>
          </w:tcPr>
          <w:p>
            <w:pPr>
              <w:jc w:val="center"/>
            </w:pPr>
            <w:r/>
            <w:r>
              <w:rPr>
                <w:rFonts w:ascii="Aptos" w:hAnsi="Aptos"/>
                <w:b w:val="0"/>
                <w:color w:val="232A33"/>
                <w:sz w:val="16"/>
              </w:rPr>
              <w:t>67.59</w:t>
            </w:r>
          </w:p>
        </w:tc>
        <w:tc>
          <w:tcPr>
            <w:tcW w:type="dxa" w:w="3408"/>
            <w:vAlign w:val="center"/>
            <w:shd w:fill="F7F9FB"/>
          </w:tcPr>
          <w:p>
            <w:pPr>
              <w:jc w:val="center"/>
            </w:pPr>
            <w:r/>
            <w:r>
              <w:rPr>
                <w:rFonts w:ascii="Aptos" w:hAnsi="Aptos"/>
                <w:b w:val="0"/>
                <w:color w:val="232A33"/>
                <w:sz w:val="16"/>
              </w:rPr>
              <w:t>60.02</w:t>
            </w:r>
          </w:p>
        </w:tc>
      </w:tr>
      <w:tr>
        <w:tc>
          <w:tcPr>
            <w:tcW w:type="dxa" w:w="3408"/>
            <w:vAlign w:val="center"/>
            <w:shd w:fill="FFFFFF"/>
          </w:tcPr>
          <w:p>
            <w:pPr>
              <w:jc w:val="left"/>
            </w:pPr>
            <w:r/>
            <w:r>
              <w:rPr>
                <w:rFonts w:ascii="Aptos" w:hAnsi="Aptos"/>
                <w:b w:val="0"/>
                <w:color w:val="232A33"/>
                <w:sz w:val="16"/>
              </w:rPr>
              <w:t>Assignment Performance</w:t>
            </w:r>
          </w:p>
        </w:tc>
        <w:tc>
          <w:tcPr>
            <w:tcW w:type="dxa" w:w="3408"/>
            <w:vAlign w:val="center"/>
            <w:shd w:fill="FFFFFF"/>
          </w:tcPr>
          <w:p>
            <w:pPr>
              <w:jc w:val="center"/>
            </w:pPr>
            <w:r/>
            <w:r>
              <w:rPr>
                <w:rFonts w:ascii="Aptos" w:hAnsi="Aptos"/>
                <w:b w:val="0"/>
                <w:color w:val="232A33"/>
                <w:sz w:val="16"/>
              </w:rPr>
              <w:t>71.29</w:t>
            </w:r>
          </w:p>
        </w:tc>
        <w:tc>
          <w:tcPr>
            <w:tcW w:type="dxa" w:w="3408"/>
            <w:vAlign w:val="center"/>
            <w:shd w:fill="FFFFFF"/>
          </w:tcPr>
          <w:p>
            <w:pPr>
              <w:jc w:val="center"/>
            </w:pPr>
            <w:r/>
            <w:r>
              <w:rPr>
                <w:rFonts w:ascii="Aptos" w:hAnsi="Aptos"/>
                <w:b w:val="0"/>
                <w:color w:val="232A33"/>
                <w:sz w:val="16"/>
              </w:rPr>
              <w:t>65.53</w:t>
            </w:r>
          </w:p>
        </w:tc>
      </w:tr>
      <w:tr>
        <w:tc>
          <w:tcPr>
            <w:tcW w:type="dxa" w:w="3408"/>
            <w:vAlign w:val="center"/>
            <w:shd w:fill="F7F9FB"/>
          </w:tcPr>
          <w:p>
            <w:pPr>
              <w:jc w:val="left"/>
            </w:pPr>
            <w:r/>
            <w:r>
              <w:rPr>
                <w:rFonts w:ascii="Aptos" w:hAnsi="Aptos"/>
                <w:b w:val="0"/>
                <w:color w:val="232A33"/>
                <w:sz w:val="16"/>
              </w:rPr>
              <w:t>Internal Marks</w:t>
            </w:r>
          </w:p>
        </w:tc>
        <w:tc>
          <w:tcPr>
            <w:tcW w:type="dxa" w:w="3408"/>
            <w:vAlign w:val="center"/>
            <w:shd w:fill="F7F9FB"/>
          </w:tcPr>
          <w:p>
            <w:pPr>
              <w:jc w:val="center"/>
            </w:pPr>
            <w:r/>
            <w:r>
              <w:rPr>
                <w:rFonts w:ascii="Aptos" w:hAnsi="Aptos"/>
                <w:b w:val="0"/>
                <w:color w:val="232A33"/>
                <w:sz w:val="16"/>
              </w:rPr>
              <w:t>69.20</w:t>
            </w:r>
          </w:p>
        </w:tc>
        <w:tc>
          <w:tcPr>
            <w:tcW w:type="dxa" w:w="3408"/>
            <w:vAlign w:val="center"/>
            <w:shd w:fill="F7F9FB"/>
          </w:tcPr>
          <w:p>
            <w:pPr>
              <w:jc w:val="center"/>
            </w:pPr>
            <w:r/>
            <w:r>
              <w:rPr>
                <w:rFonts w:ascii="Aptos" w:hAnsi="Aptos"/>
                <w:b w:val="0"/>
                <w:color w:val="232A33"/>
                <w:sz w:val="16"/>
              </w:rPr>
              <w:t>62.66</w:t>
            </w:r>
          </w:p>
        </w:tc>
      </w:tr>
      <w:tr>
        <w:tc>
          <w:tcPr>
            <w:tcW w:type="dxa" w:w="3408"/>
            <w:vAlign w:val="center"/>
            <w:shd w:fill="FFFFFF"/>
          </w:tcPr>
          <w:p>
            <w:pPr>
              <w:jc w:val="left"/>
            </w:pPr>
            <w:r/>
            <w:r>
              <w:rPr>
                <w:rFonts w:ascii="Aptos" w:hAnsi="Aptos"/>
                <w:b w:val="0"/>
                <w:color w:val="232A33"/>
                <w:sz w:val="16"/>
              </w:rPr>
              <w:t>Participation Score</w:t>
            </w:r>
          </w:p>
        </w:tc>
        <w:tc>
          <w:tcPr>
            <w:tcW w:type="dxa" w:w="3408"/>
            <w:vAlign w:val="center"/>
            <w:shd w:fill="FFFFFF"/>
          </w:tcPr>
          <w:p>
            <w:pPr>
              <w:jc w:val="center"/>
            </w:pPr>
            <w:r/>
            <w:r>
              <w:rPr>
                <w:rFonts w:ascii="Aptos" w:hAnsi="Aptos"/>
                <w:b w:val="0"/>
                <w:color w:val="232A33"/>
                <w:sz w:val="16"/>
              </w:rPr>
              <w:t>6.19</w:t>
            </w:r>
          </w:p>
        </w:tc>
        <w:tc>
          <w:tcPr>
            <w:tcW w:type="dxa" w:w="3408"/>
            <w:vAlign w:val="center"/>
            <w:shd w:fill="FFFFFF"/>
          </w:tcPr>
          <w:p>
            <w:pPr>
              <w:jc w:val="center"/>
            </w:pPr>
            <w:r/>
            <w:r>
              <w:rPr>
                <w:rFonts w:ascii="Aptos" w:hAnsi="Aptos"/>
                <w:b w:val="0"/>
                <w:color w:val="232A33"/>
                <w:sz w:val="16"/>
              </w:rPr>
              <w:t>5.71</w:t>
            </w:r>
          </w:p>
        </w:tc>
      </w:tr>
      <w:tr>
        <w:tc>
          <w:tcPr>
            <w:tcW w:type="dxa" w:w="3408"/>
            <w:vAlign w:val="center"/>
            <w:shd w:fill="F7F9FB"/>
          </w:tcPr>
          <w:p>
            <w:pPr>
              <w:jc w:val="left"/>
            </w:pPr>
            <w:r/>
            <w:r>
              <w:rPr>
                <w:rFonts w:ascii="Aptos" w:hAnsi="Aptos"/>
                <w:b w:val="0"/>
                <w:color w:val="232A33"/>
                <w:sz w:val="16"/>
              </w:rPr>
              <w:t>Backlog Subjects</w:t>
            </w:r>
          </w:p>
        </w:tc>
        <w:tc>
          <w:tcPr>
            <w:tcW w:type="dxa" w:w="3408"/>
            <w:vAlign w:val="center"/>
            <w:shd w:fill="F7F9FB"/>
          </w:tcPr>
          <w:p>
            <w:pPr>
              <w:jc w:val="center"/>
            </w:pPr>
            <w:r/>
            <w:r>
              <w:rPr>
                <w:rFonts w:ascii="Aptos" w:hAnsi="Aptos"/>
                <w:b w:val="0"/>
                <w:color w:val="232A33"/>
                <w:sz w:val="16"/>
              </w:rPr>
              <w:t>0.82</w:t>
            </w:r>
          </w:p>
        </w:tc>
        <w:tc>
          <w:tcPr>
            <w:tcW w:type="dxa" w:w="3408"/>
            <w:vAlign w:val="center"/>
            <w:shd w:fill="F7F9FB"/>
          </w:tcPr>
          <w:p>
            <w:pPr>
              <w:jc w:val="center"/>
            </w:pPr>
            <w:r/>
            <w:r>
              <w:rPr>
                <w:rFonts w:ascii="Aptos" w:hAnsi="Aptos"/>
                <w:b w:val="0"/>
                <w:color w:val="232A33"/>
                <w:sz w:val="16"/>
              </w:rPr>
              <w:t>1.53</w:t>
            </w:r>
          </w:p>
        </w:tc>
      </w:tr>
    </w:tbl>
    <w:p>
      <w:pPr>
        <w:spacing w:after="80"/>
      </w:pPr>
      <w:r>
        <w:br w:type="page"/>
      </w:r>
    </w:p>
    <w:p>
      <w:pPr>
        <w:pStyle w:val="Heading1"/>
        <w:spacing w:after="80"/>
      </w:pPr>
      <w:r>
        <w:t>9. Correlation Analysis</w:t>
      </w:r>
    </w:p>
    <w:p>
      <w:pPr>
        <w:spacing w:after="80"/>
      </w:pPr>
      <w:r>
        <w:drawing>
          <wp:inline xmlns:a="http://schemas.openxmlformats.org/drawingml/2006/main" xmlns:pic="http://schemas.openxmlformats.org/drawingml/2006/picture">
            <wp:extent cx="4892040" cy="4633552"/>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4892040" cy="4633552"/>
                    </a:xfrm>
                    <a:prstGeom prst="rect"/>
                  </pic:spPr>
                </pic:pic>
              </a:graphicData>
            </a:graphic>
          </wp:inline>
        </w:drawing>
      </w:r>
    </w:p>
    <w:p>
      <w:pPr>
        <w:spacing w:after="80"/>
        <w:jc w:val="center"/>
      </w:pPr>
      <w:r>
        <w:rPr>
          <w:i/>
          <w:color w:val="5F6976"/>
          <w:sz w:val="17"/>
        </w:rPr>
        <w:t>Figure 5. Correlation matrix for the six numerical input features.</w:t>
      </w:r>
    </w:p>
    <w:p>
      <w:pPr>
        <w:spacing w:after="80"/>
      </w:pPr>
      <w:r>
        <w:rPr>
          <w:b/>
        </w:rPr>
        <w:t xml:space="preserve">Key observation: </w:t>
      </w:r>
      <w:r>
        <w:t>Feature-to-feature correlations are close to zero in this synthetic dataset, so there is little evidence of strong pairwise linear redundancy among the six inputs.</w:t>
      </w:r>
    </w:p>
    <w:p>
      <w:r>
        <w:br w:type="page"/>
      </w:r>
    </w:p>
    <w:p>
      <w:pPr>
        <w:pStyle w:val="Heading1"/>
        <w:spacing w:after="80"/>
      </w:pPr>
      <w:r>
        <w:t>10. Association with the Target</w:t>
      </w:r>
    </w:p>
    <w:tbl>
      <w:tblPr>
        <w:tblW w:type="auto" w:w="0"/>
        <w:tblLook w:firstColumn="1" w:firstRow="1" w:lastColumn="0" w:lastRow="0" w:noHBand="0" w:noVBand="1" w:val="04A0"/>
      </w:tblPr>
      <w:tblGrid>
        <w:gridCol w:w="3408"/>
        <w:gridCol w:w="3408"/>
        <w:gridCol w:w="3408"/>
      </w:tblGrid>
      <w:tr>
        <w:tc>
          <w:tcPr>
            <w:tcW w:type="dxa" w:w="3408"/>
            <w:vAlign w:val="center"/>
            <w:shd w:fill="266B78"/>
          </w:tcPr>
          <w:p>
            <w:pPr>
              <w:jc w:val="center"/>
            </w:pPr>
            <w:r/>
            <w:r>
              <w:rPr>
                <w:rFonts w:ascii="Aptos" w:hAnsi="Aptos"/>
                <w:b/>
                <w:color w:val="FFFFFF"/>
                <w:sz w:val="17"/>
              </w:rPr>
              <w:t>Feature</w:t>
            </w:r>
          </w:p>
        </w:tc>
        <w:tc>
          <w:tcPr>
            <w:tcW w:type="dxa" w:w="3408"/>
            <w:vAlign w:val="center"/>
            <w:shd w:fill="266B78"/>
          </w:tcPr>
          <w:p>
            <w:pPr>
              <w:jc w:val="center"/>
            </w:pPr>
            <w:r/>
            <w:r>
              <w:rPr>
                <w:rFonts w:ascii="Aptos" w:hAnsi="Aptos"/>
                <w:b/>
                <w:color w:val="FFFFFF"/>
                <w:sz w:val="17"/>
              </w:rPr>
              <w:t>Correlation with At_Risk</w:t>
            </w:r>
          </w:p>
        </w:tc>
        <w:tc>
          <w:tcPr>
            <w:tcW w:type="dxa" w:w="3408"/>
            <w:vAlign w:val="center"/>
            <w:shd w:fill="266B78"/>
          </w:tcPr>
          <w:p>
            <w:pPr>
              <w:jc w:val="center"/>
            </w:pPr>
            <w:r/>
            <w:r>
              <w:rPr>
                <w:rFonts w:ascii="Aptos" w:hAnsi="Aptos"/>
                <w:b/>
                <w:color w:val="FFFFFF"/>
                <w:sz w:val="17"/>
              </w:rPr>
              <w:t>Direction</w:t>
            </w:r>
          </w:p>
        </w:tc>
      </w:tr>
      <w:tr>
        <w:tc>
          <w:tcPr>
            <w:tcW w:type="dxa" w:w="3408"/>
            <w:vAlign w:val="center"/>
            <w:shd w:fill="FFFFFF"/>
          </w:tcPr>
          <w:p>
            <w:pPr>
              <w:jc w:val="left"/>
            </w:pPr>
            <w:r/>
            <w:r>
              <w:rPr>
                <w:rFonts w:ascii="Aptos" w:hAnsi="Aptos"/>
                <w:b w:val="0"/>
                <w:color w:val="232A33"/>
                <w:sz w:val="17"/>
              </w:rPr>
              <w:t>Attendance Percentage</w:t>
            </w:r>
          </w:p>
        </w:tc>
        <w:tc>
          <w:tcPr>
            <w:tcW w:type="dxa" w:w="3408"/>
            <w:vAlign w:val="center"/>
            <w:shd w:fill="FFFFFF"/>
          </w:tcPr>
          <w:p>
            <w:pPr>
              <w:jc w:val="center"/>
            </w:pPr>
            <w:r/>
            <w:r>
              <w:rPr>
                <w:rFonts w:ascii="Aptos" w:hAnsi="Aptos"/>
                <w:b w:val="0"/>
                <w:color w:val="232A33"/>
                <w:sz w:val="17"/>
              </w:rPr>
              <w:t>-0.354</w:t>
            </w:r>
          </w:p>
        </w:tc>
        <w:tc>
          <w:tcPr>
            <w:tcW w:type="dxa" w:w="3408"/>
            <w:vAlign w:val="center"/>
            <w:shd w:fill="FFFFFF"/>
          </w:tcPr>
          <w:p>
            <w:pPr>
              <w:jc w:val="center"/>
            </w:pPr>
            <w:r/>
            <w:r>
              <w:rPr>
                <w:rFonts w:ascii="Aptos" w:hAnsi="Aptos"/>
                <w:b w:val="0"/>
                <w:color w:val="232A33"/>
                <w:sz w:val="17"/>
              </w:rPr>
              <w:t>Negative</w:t>
            </w:r>
          </w:p>
        </w:tc>
      </w:tr>
      <w:tr>
        <w:tc>
          <w:tcPr>
            <w:tcW w:type="dxa" w:w="3408"/>
            <w:vAlign w:val="center"/>
            <w:shd w:fill="F7F9FB"/>
          </w:tcPr>
          <w:p>
            <w:pPr>
              <w:jc w:val="left"/>
            </w:pPr>
            <w:r/>
            <w:r>
              <w:rPr>
                <w:rFonts w:ascii="Aptos" w:hAnsi="Aptos"/>
                <w:b w:val="0"/>
                <w:color w:val="232A33"/>
                <w:sz w:val="17"/>
              </w:rPr>
              <w:t>Previous Grades</w:t>
            </w:r>
          </w:p>
        </w:tc>
        <w:tc>
          <w:tcPr>
            <w:tcW w:type="dxa" w:w="3408"/>
            <w:vAlign w:val="center"/>
            <w:shd w:fill="F7F9FB"/>
          </w:tcPr>
          <w:p>
            <w:pPr>
              <w:jc w:val="center"/>
            </w:pPr>
            <w:r/>
            <w:r>
              <w:rPr>
                <w:rFonts w:ascii="Aptos" w:hAnsi="Aptos"/>
                <w:b w:val="0"/>
                <w:color w:val="232A33"/>
                <w:sz w:val="17"/>
              </w:rPr>
              <w:t>-0.253</w:t>
            </w:r>
          </w:p>
        </w:tc>
        <w:tc>
          <w:tcPr>
            <w:tcW w:type="dxa" w:w="3408"/>
            <w:vAlign w:val="center"/>
            <w:shd w:fill="F7F9FB"/>
          </w:tcPr>
          <w:p>
            <w:pPr>
              <w:jc w:val="center"/>
            </w:pPr>
            <w:r/>
            <w:r>
              <w:rPr>
                <w:rFonts w:ascii="Aptos" w:hAnsi="Aptos"/>
                <w:b w:val="0"/>
                <w:color w:val="232A33"/>
                <w:sz w:val="17"/>
              </w:rPr>
              <w:t>Negative</w:t>
            </w:r>
          </w:p>
        </w:tc>
      </w:tr>
      <w:tr>
        <w:tc>
          <w:tcPr>
            <w:tcW w:type="dxa" w:w="3408"/>
            <w:vAlign w:val="center"/>
            <w:shd w:fill="FFFFFF"/>
          </w:tcPr>
          <w:p>
            <w:pPr>
              <w:jc w:val="left"/>
            </w:pPr>
            <w:r/>
            <w:r>
              <w:rPr>
                <w:rFonts w:ascii="Aptos" w:hAnsi="Aptos"/>
                <w:b w:val="0"/>
                <w:color w:val="232A33"/>
                <w:sz w:val="17"/>
              </w:rPr>
              <w:t>Internal Marks</w:t>
            </w:r>
          </w:p>
        </w:tc>
        <w:tc>
          <w:tcPr>
            <w:tcW w:type="dxa" w:w="3408"/>
            <w:vAlign w:val="center"/>
            <w:shd w:fill="FFFFFF"/>
          </w:tcPr>
          <w:p>
            <w:pPr>
              <w:jc w:val="center"/>
            </w:pPr>
            <w:r/>
            <w:r>
              <w:rPr>
                <w:rFonts w:ascii="Aptos" w:hAnsi="Aptos"/>
                <w:b w:val="0"/>
                <w:color w:val="232A33"/>
                <w:sz w:val="17"/>
              </w:rPr>
              <w:t>-0.241</w:t>
            </w:r>
          </w:p>
        </w:tc>
        <w:tc>
          <w:tcPr>
            <w:tcW w:type="dxa" w:w="3408"/>
            <w:vAlign w:val="center"/>
            <w:shd w:fill="FFFFFF"/>
          </w:tcPr>
          <w:p>
            <w:pPr>
              <w:jc w:val="center"/>
            </w:pPr>
            <w:r/>
            <w:r>
              <w:rPr>
                <w:rFonts w:ascii="Aptos" w:hAnsi="Aptos"/>
                <w:b w:val="0"/>
                <w:color w:val="232A33"/>
                <w:sz w:val="17"/>
              </w:rPr>
              <w:t>Negative</w:t>
            </w:r>
          </w:p>
        </w:tc>
      </w:tr>
      <w:tr>
        <w:tc>
          <w:tcPr>
            <w:tcW w:type="dxa" w:w="3408"/>
            <w:vAlign w:val="center"/>
            <w:shd w:fill="F7F9FB"/>
          </w:tcPr>
          <w:p>
            <w:pPr>
              <w:jc w:val="left"/>
            </w:pPr>
            <w:r/>
            <w:r>
              <w:rPr>
                <w:rFonts w:ascii="Aptos" w:hAnsi="Aptos"/>
                <w:b w:val="0"/>
                <w:color w:val="232A33"/>
                <w:sz w:val="17"/>
              </w:rPr>
              <w:t>Assignment Performance</w:t>
            </w:r>
          </w:p>
        </w:tc>
        <w:tc>
          <w:tcPr>
            <w:tcW w:type="dxa" w:w="3408"/>
            <w:vAlign w:val="center"/>
            <w:shd w:fill="F7F9FB"/>
          </w:tcPr>
          <w:p>
            <w:pPr>
              <w:jc w:val="center"/>
            </w:pPr>
            <w:r/>
            <w:r>
              <w:rPr>
                <w:rFonts w:ascii="Aptos" w:hAnsi="Aptos"/>
                <w:b w:val="0"/>
                <w:color w:val="232A33"/>
                <w:sz w:val="17"/>
              </w:rPr>
              <w:t>-0.193</w:t>
            </w:r>
          </w:p>
        </w:tc>
        <w:tc>
          <w:tcPr>
            <w:tcW w:type="dxa" w:w="3408"/>
            <w:vAlign w:val="center"/>
            <w:shd w:fill="F7F9FB"/>
          </w:tcPr>
          <w:p>
            <w:pPr>
              <w:jc w:val="center"/>
            </w:pPr>
            <w:r/>
            <w:r>
              <w:rPr>
                <w:rFonts w:ascii="Aptos" w:hAnsi="Aptos"/>
                <w:b w:val="0"/>
                <w:color w:val="232A33"/>
                <w:sz w:val="17"/>
              </w:rPr>
              <w:t>Negative</w:t>
            </w:r>
          </w:p>
        </w:tc>
      </w:tr>
      <w:tr>
        <w:tc>
          <w:tcPr>
            <w:tcW w:type="dxa" w:w="3408"/>
            <w:vAlign w:val="center"/>
            <w:shd w:fill="FFFFFF"/>
          </w:tcPr>
          <w:p>
            <w:pPr>
              <w:jc w:val="left"/>
            </w:pPr>
            <w:r/>
            <w:r>
              <w:rPr>
                <w:rFonts w:ascii="Aptos" w:hAnsi="Aptos"/>
                <w:b w:val="0"/>
                <w:color w:val="232A33"/>
                <w:sz w:val="17"/>
              </w:rPr>
              <w:t>Participation Score</w:t>
            </w:r>
          </w:p>
        </w:tc>
        <w:tc>
          <w:tcPr>
            <w:tcW w:type="dxa" w:w="3408"/>
            <w:vAlign w:val="center"/>
            <w:shd w:fill="FFFFFF"/>
          </w:tcPr>
          <w:p>
            <w:pPr>
              <w:jc w:val="center"/>
            </w:pPr>
            <w:r/>
            <w:r>
              <w:rPr>
                <w:rFonts w:ascii="Aptos" w:hAnsi="Aptos"/>
                <w:b w:val="0"/>
                <w:color w:val="232A33"/>
                <w:sz w:val="17"/>
              </w:rPr>
              <w:t>-0.124</w:t>
            </w:r>
          </w:p>
        </w:tc>
        <w:tc>
          <w:tcPr>
            <w:tcW w:type="dxa" w:w="3408"/>
            <w:vAlign w:val="center"/>
            <w:shd w:fill="FFFFFF"/>
          </w:tcPr>
          <w:p>
            <w:pPr>
              <w:jc w:val="center"/>
            </w:pPr>
            <w:r/>
            <w:r>
              <w:rPr>
                <w:rFonts w:ascii="Aptos" w:hAnsi="Aptos"/>
                <w:b w:val="0"/>
                <w:color w:val="232A33"/>
                <w:sz w:val="17"/>
              </w:rPr>
              <w:t>Negative</w:t>
            </w:r>
          </w:p>
        </w:tc>
      </w:tr>
      <w:tr>
        <w:tc>
          <w:tcPr>
            <w:tcW w:type="dxa" w:w="3408"/>
            <w:vAlign w:val="center"/>
            <w:shd w:fill="F7F9FB"/>
          </w:tcPr>
          <w:p>
            <w:pPr>
              <w:jc w:val="left"/>
            </w:pPr>
            <w:r/>
            <w:r>
              <w:rPr>
                <w:rFonts w:ascii="Aptos" w:hAnsi="Aptos"/>
                <w:b w:val="0"/>
                <w:color w:val="232A33"/>
                <w:sz w:val="17"/>
              </w:rPr>
              <w:t>Backlog Subjects</w:t>
            </w:r>
          </w:p>
        </w:tc>
        <w:tc>
          <w:tcPr>
            <w:tcW w:type="dxa" w:w="3408"/>
            <w:vAlign w:val="center"/>
            <w:shd w:fill="F7F9FB"/>
          </w:tcPr>
          <w:p>
            <w:pPr>
              <w:jc w:val="center"/>
            </w:pPr>
            <w:r/>
            <w:r>
              <w:rPr>
                <w:rFonts w:ascii="Aptos" w:hAnsi="Aptos"/>
                <w:b w:val="0"/>
                <w:color w:val="232A33"/>
                <w:sz w:val="17"/>
              </w:rPr>
              <w:t>0.336</w:t>
            </w:r>
          </w:p>
        </w:tc>
        <w:tc>
          <w:tcPr>
            <w:tcW w:type="dxa" w:w="3408"/>
            <w:vAlign w:val="center"/>
            <w:shd w:fill="F7F9FB"/>
          </w:tcPr>
          <w:p>
            <w:pPr>
              <w:jc w:val="center"/>
            </w:pPr>
            <w:r/>
            <w:r>
              <w:rPr>
                <w:rFonts w:ascii="Aptos" w:hAnsi="Aptos"/>
                <w:b w:val="0"/>
                <w:color w:val="232A33"/>
                <w:sz w:val="17"/>
              </w:rPr>
              <w:t>Positive</w:t>
            </w:r>
          </w:p>
        </w:tc>
      </w:tr>
    </w:tbl>
    <w:p>
      <w:pPr>
        <w:spacing w:after="80"/>
      </w:pPr>
      <w:r>
        <w:rPr>
          <w:b/>
        </w:rPr>
        <w:t xml:space="preserve">Interpretation: </w:t>
      </w:r>
      <w:r>
        <w:t>Attendance (-0.354) and backlog subjects (+0.336) have the strongest absolute linear associations with the binary target, followed by previous grades (-0.253), internal marks (-0.241), assignment performance (-0.193), and participation (-0.124). These values describe the synthetic dataset and are not causal effects.</w:t>
      </w:r>
    </w:p>
    <w:p>
      <w:pPr>
        <w:spacing w:after="80"/>
      </w:pPr>
      <w:r>
        <w:br w:type="page"/>
      </w:r>
    </w:p>
    <w:p>
      <w:pPr>
        <w:pStyle w:val="Heading1"/>
        <w:spacing w:after="80"/>
      </w:pPr>
      <w:r>
        <w:t>11. Overall EDA Findings</w:t>
      </w:r>
    </w:p>
    <w:p>
      <w:pPr>
        <w:spacing w:after="80"/>
        <w:ind w:left="288" w:hanging="230"/>
      </w:pPr>
      <w:r>
        <w:rPr>
          <w:b/>
          <w:color w:val="2B5C91"/>
        </w:rPr>
        <w:t xml:space="preserve">• </w:t>
      </w:r>
      <w:r>
        <w:t>Dataset contains 1,000 records, six numerical predictors, and one binary categorical target.</w:t>
      </w:r>
    </w:p>
    <w:p>
      <w:pPr>
        <w:spacing w:after="80"/>
        <w:ind w:left="288" w:hanging="230"/>
      </w:pPr>
      <w:r>
        <w:rPr>
          <w:b/>
          <w:color w:val="2B5C91"/>
        </w:rPr>
        <w:t xml:space="preserve">• </w:t>
      </w:r>
      <w:r>
        <w:t>No missing values and no duplicate rows were found.</w:t>
      </w:r>
    </w:p>
    <w:p>
      <w:pPr>
        <w:spacing w:after="80"/>
        <w:ind w:left="288" w:hanging="230"/>
      </w:pPr>
      <w:r>
        <w:rPr>
          <w:b/>
          <w:color w:val="2B5C91"/>
        </w:rPr>
        <w:t xml:space="preserve">• </w:t>
      </w:r>
      <w:r>
        <w:t>Target classes are balanced at 500 Not At Risk and 500 At Risk records.</w:t>
      </w:r>
    </w:p>
    <w:p>
      <w:pPr>
        <w:spacing w:after="80"/>
        <w:ind w:left="288" w:hanging="230"/>
      </w:pPr>
      <w:r>
        <w:rPr>
          <w:b/>
          <w:color w:val="2B5C91"/>
        </w:rPr>
        <w:t xml:space="preserve">• </w:t>
      </w:r>
      <w:r>
        <w:t>Attendance and previous academic indicators are lower on average in the At Risk group, while backlog count is higher.</w:t>
      </w:r>
    </w:p>
    <w:p>
      <w:pPr>
        <w:spacing w:after="80"/>
        <w:ind w:left="288" w:hanging="230"/>
      </w:pPr>
      <w:r>
        <w:rPr>
          <w:b/>
          <w:color w:val="2B5C91"/>
        </w:rPr>
        <w:t xml:space="preserve">• </w:t>
      </w:r>
      <w:r>
        <w:t>Feature distributions overlap, so no single feature completely separates the two classes.</w:t>
      </w:r>
    </w:p>
    <w:p>
      <w:pPr>
        <w:spacing w:after="80"/>
        <w:ind w:left="288" w:hanging="230"/>
      </w:pPr>
      <w:r>
        <w:rPr>
          <w:b/>
          <w:color w:val="2B5C91"/>
        </w:rPr>
        <w:t xml:space="preserve">• </w:t>
      </w:r>
      <w:r>
        <w:t>Pairwise feature correlations are very small in the synthetic dataset.</w:t>
      </w:r>
    </w:p>
    <w:p>
      <w:pPr>
        <w:spacing w:after="80"/>
        <w:ind w:left="288" w:hanging="230"/>
      </w:pPr>
      <w:r>
        <w:rPr>
          <w:b/>
          <w:color w:val="2B5C91"/>
        </w:rPr>
        <w:t xml:space="preserve">• </w:t>
      </w:r>
      <w:r>
        <w:t>Using all six features together is more appropriate than relying on a single indicator.</w:t>
      </w:r>
    </w:p>
    <w:p>
      <w:pPr>
        <w:pStyle w:val="Heading1"/>
        <w:spacing w:after="80"/>
      </w:pPr>
      <w:r>
        <w:t>12. Implications for Model Building</w:t>
      </w:r>
    </w:p>
    <w:p>
      <w:pPr>
        <w:spacing w:after="80"/>
      </w:pPr>
      <w:r>
        <w:rPr>
          <w:b/>
        </w:rPr>
        <w:t xml:space="preserve">Based on the EDA, </w:t>
      </w:r>
      <w:r>
        <w:t>the project uses all six academic indicators as model inputs. StandardScaler is applied because the features have different numerical ranges. Logistic Regression is then used as the interpretable binary classification baseline and evaluated on an unseen 20% test split.</w:t>
      </w:r>
    </w:p>
    <w:p>
      <w:pPr>
        <w:pStyle w:val="Heading1"/>
        <w:spacing w:after="80"/>
      </w:pPr>
      <w:r>
        <w:t>13. EDA Limitations and Cautions</w:t>
      </w:r>
    </w:p>
    <w:p>
      <w:pPr>
        <w:spacing w:after="80"/>
      </w:pPr>
      <w:r>
        <w:rPr>
          <w:b/>
        </w:rPr>
        <w:t xml:space="preserve">Synthetic data: </w:t>
      </w:r>
      <w:r>
        <w:t>The dataset is a prototype and does not represent a particular institution.</w:t>
      </w:r>
    </w:p>
    <w:p>
      <w:pPr>
        <w:spacing w:after="80"/>
      </w:pPr>
      <w:r>
        <w:rPr>
          <w:b/>
        </w:rPr>
        <w:t xml:space="preserve">Descriptive analysis: </w:t>
      </w:r>
      <w:r>
        <w:t>EDA identifies patterns and associations but does not prove that a feature causes academic risk.</w:t>
      </w:r>
    </w:p>
    <w:p>
      <w:pPr>
        <w:spacing w:after="80"/>
      </w:pPr>
      <w:r>
        <w:rPr>
          <w:b/>
        </w:rPr>
        <w:t xml:space="preserve">Generalization: </w:t>
      </w:r>
      <w:r>
        <w:t>The observed distributions and associations should be rechecked on a suitable real or public dataset before deployment.</w:t>
      </w:r>
    </w:p>
    <w:p>
      <w:pPr>
        <w:spacing w:after="80"/>
      </w:pPr>
      <w:r>
        <w:br w:type="page"/>
      </w:r>
    </w:p>
    <w:p>
      <w:pPr>
        <w:pStyle w:val="Heading1"/>
        <w:spacing w:after="80"/>
      </w:pPr>
      <w:r>
        <w:t>Appendix A. Core EDA Program</w:t>
      </w:r>
    </w:p>
    <w:tbl>
      <w:tblPr>
        <w:tblW w:type="auto" w:w="0"/>
        <w:tblLook w:firstColumn="1" w:firstRow="1" w:lastColumn="0" w:lastRow="0" w:noHBand="0" w:noVBand="1" w:val="04A0"/>
      </w:tblPr>
      <w:tblGrid>
        <w:gridCol w:w="10224"/>
      </w:tblGrid>
      <w:tr>
        <w:tc>
          <w:tcPr>
            <w:tcW w:type="dxa" w:w="10224"/>
            <w:shd w:fill="202733"/>
            <w:vAlign w:val="center"/>
          </w:tcPr>
          <w:p>
            <w:pPr>
              <w:jc w:val="left"/>
            </w:pPr>
            <w:r/>
            <w:r>
              <w:rPr>
                <w:rFonts w:ascii="Aptos" w:hAnsi="Aptos"/>
                <w:b w:val="0"/>
                <w:color w:val="F0F4F8"/>
                <w:sz w:val="17"/>
              </w:rPr>
              <w:t>df = pd.read_csv("Student_Academic_Risk_Dataset.csv")</w:t>
              <w:br/>
              <w:br/>
              <w:t>print(df.shape)</w:t>
              <w:br/>
              <w:t>print(df.dtypes)</w:t>
              <w:br/>
              <w:t>print(df.isnull().sum())</w:t>
              <w:br/>
              <w:t>print(df.duplicated().sum())</w:t>
              <w:br/>
              <w:t>print(df["At_Risk"].value_counts())</w:t>
              <w:br/>
              <w:br/>
              <w:t># Example visualizations</w:t>
              <w:br/>
              <w:t>plt.hist(df["Attendance_Percentage"], bins=15)</w:t>
              <w:br/>
              <w:t>plt.boxplot([</w:t>
              <w:br/>
              <w:t xml:space="preserve">    df[df["At_Risk"]=="No"]["Backlog_Subjects"],</w:t>
              <w:br/>
              <w:t xml:space="preserve">    df[df["At_Risk"]=="Yes"]["Backlog_Subjects"]</w:t>
              <w:br/>
              <w:t>])</w:t>
            </w:r>
          </w:p>
        </w:tc>
      </w:tr>
    </w:tbl>
    <w:p>
      <w:pPr>
        <w:spacing w:after="80"/>
      </w:pPr>
    </w:p>
    <w:p>
      <w:pPr>
        <w:pStyle w:val="Heading1"/>
        <w:spacing w:after="80"/>
      </w:pPr>
      <w:r>
        <w:t>Appendix B. EDA Interpretation for Presentation</w:t>
      </w:r>
    </w:p>
    <w:p>
      <w:pPr>
        <w:spacing w:after="80"/>
      </w:pPr>
      <w:r>
        <w:rPr>
          <w:b/>
        </w:rPr>
        <w:t xml:space="preserve">What is EDA?: </w:t>
      </w:r>
      <w:r>
        <w:t>EDA means Exploratory Data Analysis: understanding data before model training.</w:t>
      </w:r>
    </w:p>
    <w:p>
      <w:pPr>
        <w:spacing w:after="80"/>
      </w:pPr>
      <w:r>
        <w:rPr>
          <w:b/>
        </w:rPr>
        <w:t xml:space="preserve">Are the classes balanced?: </w:t>
      </w:r>
      <w:r>
        <w:t>Yes. There are 500 Not At Risk and 500 At Risk records.</w:t>
      </w:r>
    </w:p>
    <w:p>
      <w:pPr>
        <w:spacing w:after="80"/>
      </w:pPr>
      <w:r>
        <w:rPr>
          <w:b/>
        </w:rPr>
        <w:t xml:space="preserve">Any missing or duplicate data?: </w:t>
      </w:r>
      <w:r>
        <w:t>No missing values and no duplicate rows were found.</w:t>
      </w:r>
    </w:p>
    <w:p>
      <w:pPr>
        <w:spacing w:after="80"/>
      </w:pPr>
      <w:r>
        <w:rPr>
          <w:b/>
        </w:rPr>
        <w:t xml:space="preserve">Which features show stronger target association?: </w:t>
      </w:r>
      <w:r>
        <w:t>Attendance and backlogs show the strongest absolute linear associations in this synthetic dataset.</w:t>
      </w:r>
    </w:p>
    <w:p>
      <w:pPr>
        <w:spacing w:after="80"/>
      </w:pPr>
      <w:r>
        <w:rPr>
          <w:b/>
        </w:rPr>
        <w:t xml:space="preserve">Does EDA prove causation?: </w:t>
      </w:r>
      <w:r>
        <w:t>No. It shows patterns and associations, not causation.</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6"/>
        <w:sz w:val="16"/>
      </w:rPr>
      <w:t>Student Academic Risk Prediction System • EDA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03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5C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0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