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XAgentic Conference Paper</w:t>
        <w:br/>
        <w:t>Reviewer Score Improvement Plan</w:t>
      </w:r>
    </w:p>
    <w:p>
      <w:pPr>
        <w:jc w:val="center"/>
      </w:pPr>
      <w:r>
        <w:rPr>
          <w:i/>
        </w:rPr>
        <w:t>Revision roadmap based on Technical Peer Review — ICIITCEE 2027</w:t>
      </w:r>
    </w:p>
    <w:p>
      <w:pPr>
        <w:pStyle w:val="Heading1"/>
      </w:pPr>
      <w:r>
        <w:t>1. Revision Objective</w:t>
      </w:r>
    </w:p>
    <w:p>
      <w:r>
        <w:t>The current overall score is 2/5, but the review indicates that the paper is a promising controlled prototype study and that targeted evaluations and clearer definitions can address the main weaknesses. The goal is therefore not to add experimental volume indiscriminately, but to close the specific validity, methodology, explainability, reproducibility, and framing gaps identified by the reviewer.</w:t>
      </w:r>
    </w:p>
    <w:p>
      <w:pPr>
        <w:pStyle w:val="Heading1"/>
      </w:pPr>
      <w:r>
        <w:t>2. Score-by-Score Improvement Plan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tcPr>
          <w:p>
            <w:r>
              <w:rPr>
                <w:b/>
                <w:sz w:val="16"/>
              </w:rPr>
              <w:t>Review dimension</w:t>
            </w:r>
          </w:p>
        </w:tc>
        <w:tc>
          <w:tcPr>
            <w:tcW w:type="dxa" w:w="1728"/>
            <w:vAlign w:val="center"/>
          </w:tcPr>
          <w:p>
            <w:r>
              <w:rPr>
                <w:b/>
                <w:sz w:val="16"/>
              </w:rPr>
              <w:t>Current</w:t>
            </w:r>
          </w:p>
        </w:tc>
        <w:tc>
          <w:tcPr>
            <w:tcW w:type="dxa" w:w="1728"/>
            <w:vAlign w:val="center"/>
          </w:tcPr>
          <w:p>
            <w:r>
              <w:rPr>
                <w:b/>
                <w:sz w:val="16"/>
              </w:rPr>
              <w:t>Target</w:t>
            </w:r>
          </w:p>
        </w:tc>
        <w:tc>
          <w:tcPr>
            <w:tcW w:type="dxa" w:w="1728"/>
            <w:vAlign w:val="center"/>
          </w:tcPr>
          <w:p>
            <w:r>
              <w:rPr>
                <w:b/>
                <w:sz w:val="16"/>
              </w:rPr>
              <w:t>Primary weakness</w:t>
            </w:r>
          </w:p>
        </w:tc>
        <w:tc>
          <w:tcPr>
            <w:tcW w:type="dxa" w:w="1728"/>
            <w:vAlign w:val="center"/>
          </w:tcPr>
          <w:p>
            <w:r>
              <w:rPr>
                <w:b/>
                <w:sz w:val="16"/>
              </w:rPr>
              <w:t>Improvement plan</w:t>
            </w:r>
          </w:p>
        </w:tc>
        <w:tc>
          <w:tcPr>
            <w:tcW w:type="dxa" w:w="1728"/>
            <w:vAlign w:val="center"/>
          </w:tcPr>
          <w:p>
            <w:r>
              <w:rPr>
                <w:b/>
                <w:sz w:val="16"/>
              </w:rPr>
              <w:t>Experiment</w:t>
            </w:r>
          </w:p>
        </w:tc>
      </w:tr>
      <w:tr>
        <w:tc>
          <w:tcPr>
            <w:tcW w:type="dxa" w:w="1728"/>
            <w:vAlign w:val="top"/>
          </w:tcPr>
          <w:p>
            <w:r>
              <w:rPr>
                <w:sz w:val="15"/>
              </w:rPr>
              <w:t>Novelty and significance</w:t>
            </w:r>
          </w:p>
        </w:tc>
        <w:tc>
          <w:tcPr>
            <w:tcW w:type="dxa" w:w="1728"/>
            <w:vAlign w:val="top"/>
          </w:tcPr>
          <w:p>
            <w:r>
              <w:rPr>
                <w:sz w:val="15"/>
              </w:rPr>
              <w:t>2/5</w:t>
            </w:r>
          </w:p>
        </w:tc>
        <w:tc>
          <w:tcPr>
            <w:tcW w:type="dxa" w:w="1728"/>
            <w:vAlign w:val="top"/>
          </w:tcPr>
          <w:p>
            <w:r>
              <w:rPr>
                <w:sz w:val="15"/>
              </w:rPr>
              <w:t>3–4/5</w:t>
            </w:r>
          </w:p>
        </w:tc>
        <w:tc>
          <w:tcPr>
            <w:tcW w:type="dxa" w:w="1728"/>
            <w:vAlign w:val="top"/>
          </w:tcPr>
          <w:p>
            <w:r>
              <w:rPr>
                <w:sz w:val="15"/>
              </w:rPr>
              <w:t>Architecture combines established components; novelty appears mainly as synthetic component comparison.</w:t>
            </w:r>
          </w:p>
        </w:tc>
        <w:tc>
          <w:tcPr>
            <w:tcW w:type="dxa" w:w="1728"/>
            <w:vAlign w:val="top"/>
          </w:tcPr>
          <w:p>
            <w:r>
              <w:rPr>
                <w:sz w:val="15"/>
              </w:rPr>
              <w:t>Reframe novelty around controlled interaction evidence: phrase robustness, feasibility-constrained decisions, explainability trade-offs, E4 non-additivity, and deterministic-vs-agentic trade-offs. Make the empirical interaction study the contribution rather than claiming architectural novelty.</w:t>
            </w:r>
          </w:p>
        </w:tc>
        <w:tc>
          <w:tcPr>
            <w:tcW w:type="dxa" w:w="1728"/>
            <w:vAlign w:val="top"/>
          </w:tcPr>
          <w:p>
            <w:r>
              <w:rPr>
                <w:sz w:val="15"/>
              </w:rPr>
              <w:t>R1–R4</w:t>
            </w:r>
          </w:p>
        </w:tc>
      </w:tr>
      <w:tr>
        <w:tc>
          <w:tcPr>
            <w:tcW w:type="dxa" w:w="1728"/>
            <w:vAlign w:val="top"/>
          </w:tcPr>
          <w:p>
            <w:r>
              <w:rPr>
                <w:sz w:val="15"/>
              </w:rPr>
              <w:t>Problem formulation and framing</w:t>
            </w:r>
          </w:p>
        </w:tc>
        <w:tc>
          <w:tcPr>
            <w:tcW w:type="dxa" w:w="1728"/>
            <w:vAlign w:val="top"/>
          </w:tcPr>
          <w:p>
            <w:r>
              <w:rPr>
                <w:sz w:val="15"/>
              </w:rPr>
              <w:t>2/5</w:t>
            </w:r>
          </w:p>
        </w:tc>
        <w:tc>
          <w:tcPr>
            <w:tcW w:type="dxa" w:w="1728"/>
            <w:vAlign w:val="top"/>
          </w:tcPr>
          <w:p>
            <w:r>
              <w:rPr>
                <w:sz w:val="15"/>
              </w:rPr>
              <w:t>4/5</w:t>
            </w:r>
          </w:p>
        </w:tc>
        <w:tc>
          <w:tcPr>
            <w:tcW w:type="dxa" w:w="1728"/>
            <w:vAlign w:val="top"/>
          </w:tcPr>
          <w:p>
            <w:r>
              <w:rPr>
                <w:sz w:val="15"/>
              </w:rPr>
              <w:t>Class-conditioned phrase pools leak label information, weakening ambiguity and open-vocabulary claims.</w:t>
            </w:r>
          </w:p>
        </w:tc>
        <w:tc>
          <w:tcPr>
            <w:tcW w:type="dxa" w:w="1728"/>
            <w:vAlign w:val="top"/>
          </w:tcPr>
          <w:p>
            <w:r>
              <w:rPr>
                <w:sz w:val="15"/>
              </w:rPr>
              <w:t>Precisely define requested service-type classification. Replace broad ambiguity claims with KPI-conflict/blended conditions where appropriate. Separate exact-lexicon OOV from genuine held-out phrase generalization. Evaluate phrase-held-out, generic+KPI, and KPI-only conditions.</w:t>
            </w:r>
          </w:p>
        </w:tc>
        <w:tc>
          <w:tcPr>
            <w:tcW w:type="dxa" w:w="1728"/>
            <w:vAlign w:val="top"/>
          </w:tcPr>
          <w:p>
            <w:r>
              <w:rPr>
                <w:sz w:val="15"/>
              </w:rPr>
              <w:t>R1 — critical</w:t>
            </w:r>
          </w:p>
        </w:tc>
      </w:tr>
      <w:tr>
        <w:tc>
          <w:tcPr>
            <w:tcW w:type="dxa" w:w="1728"/>
            <w:vAlign w:val="top"/>
          </w:tcPr>
          <w:p>
            <w:r>
              <w:rPr>
                <w:sz w:val="15"/>
              </w:rPr>
              <w:t>Methodological soundness</w:t>
            </w:r>
          </w:p>
        </w:tc>
        <w:tc>
          <w:tcPr>
            <w:tcW w:type="dxa" w:w="1728"/>
            <w:vAlign w:val="top"/>
          </w:tcPr>
          <w:p>
            <w:r>
              <w:rPr>
                <w:sz w:val="15"/>
              </w:rPr>
              <w:t>2/5</w:t>
            </w:r>
          </w:p>
        </w:tc>
        <w:tc>
          <w:tcPr>
            <w:tcW w:type="dxa" w:w="1728"/>
            <w:vAlign w:val="top"/>
          </w:tcPr>
          <w:p>
            <w:r>
              <w:rPr>
                <w:sz w:val="15"/>
              </w:rPr>
              <w:t>4/5</w:t>
            </w:r>
          </w:p>
        </w:tc>
        <w:tc>
          <w:tcPr>
            <w:tcW w:type="dxa" w:w="1728"/>
            <w:vAlign w:val="top"/>
          </w:tcPr>
          <w:p>
            <w:r>
              <w:rPr>
                <w:sz w:val="15"/>
              </w:rPr>
              <w:t>Phrase overlap, pre-blending labels, one-seed component analyses, and permissive feasibility screening limit inference.</w:t>
            </w:r>
          </w:p>
        </w:tc>
        <w:tc>
          <w:tcPr>
            <w:tcW w:type="dxa" w:w="1728"/>
            <w:vAlign w:val="top"/>
          </w:tcPr>
          <w:p>
            <w:r>
              <w:rPr>
                <w:sz w:val="15"/>
              </w:rPr>
              <w:t>Introduce phrase-group splitting, strict feasibility, explicit infeasible outcomes, mobility checks, candidate masking, and paired uncertainty analysis. Preserve original E1–E5 as frozen evidence and add robustness analyses separately.</w:t>
            </w:r>
          </w:p>
        </w:tc>
        <w:tc>
          <w:tcPr>
            <w:tcW w:type="dxa" w:w="1728"/>
            <w:vAlign w:val="top"/>
          </w:tcPr>
          <w:p>
            <w:r>
              <w:rPr>
                <w:sz w:val="15"/>
              </w:rPr>
              <w:t>R1, R2, R3, R5</w:t>
            </w:r>
          </w:p>
        </w:tc>
      </w:tr>
      <w:tr>
        <w:tc>
          <w:tcPr>
            <w:tcW w:type="dxa" w:w="1728"/>
            <w:vAlign w:val="top"/>
          </w:tcPr>
          <w:p>
            <w:r>
              <w:rPr>
                <w:sz w:val="15"/>
              </w:rPr>
              <w:t>Explainability evaluation rigour</w:t>
            </w:r>
          </w:p>
        </w:tc>
        <w:tc>
          <w:tcPr>
            <w:tcW w:type="dxa" w:w="1728"/>
            <w:vAlign w:val="top"/>
          </w:tcPr>
          <w:p>
            <w:r>
              <w:rPr>
                <w:sz w:val="15"/>
              </w:rPr>
              <w:t>2/5</w:t>
            </w:r>
          </w:p>
        </w:tc>
        <w:tc>
          <w:tcPr>
            <w:tcW w:type="dxa" w:w="1728"/>
            <w:vAlign w:val="top"/>
          </w:tcPr>
          <w:p>
            <w:r>
              <w:rPr>
                <w:sz w:val="15"/>
              </w:rPr>
              <w:t>3–4/5</w:t>
            </w:r>
          </w:p>
        </w:tc>
        <w:tc>
          <w:tcPr>
            <w:tcW w:type="dxa" w:w="1728"/>
            <w:vAlign w:val="top"/>
          </w:tcPr>
          <w:p>
            <w:r>
              <w:rPr>
                <w:sz w:val="15"/>
              </w:rPr>
              <w:t>One-feature median replacement can be off-manifold and breaks raw/log feature consistency; prediction flips are closer to sensitivity than faithfulness.</w:t>
            </w:r>
          </w:p>
        </w:tc>
        <w:tc>
          <w:tcPr>
            <w:tcW w:type="dxa" w:w="1728"/>
            <w:vAlign w:val="top"/>
          </w:tcPr>
          <w:p>
            <w:r>
              <w:rPr>
                <w:sz w:val="15"/>
              </w:rPr>
              <w:t>Rename the current measure to top-feature perturbation sensitivity. Add grouped raw+derived-feature perturbation and random/bottom-ranked controls. Avoid claiming complete explanation faithfulness from this test alone.</w:t>
            </w:r>
          </w:p>
        </w:tc>
        <w:tc>
          <w:tcPr>
            <w:tcW w:type="dxa" w:w="1728"/>
            <w:vAlign w:val="top"/>
          </w:tcPr>
          <w:p>
            <w:r>
              <w:rPr>
                <w:sz w:val="15"/>
              </w:rPr>
              <w:t>R4</w:t>
            </w:r>
          </w:p>
        </w:tc>
      </w:tr>
      <w:tr>
        <w:tc>
          <w:tcPr>
            <w:tcW w:type="dxa" w:w="1728"/>
            <w:vAlign w:val="top"/>
          </w:tcPr>
          <w:p>
            <w:r>
              <w:rPr>
                <w:sz w:val="15"/>
              </w:rPr>
              <w:t>Results, claims and interpretation</w:t>
            </w:r>
          </w:p>
        </w:tc>
        <w:tc>
          <w:tcPr>
            <w:tcW w:type="dxa" w:w="1728"/>
            <w:vAlign w:val="top"/>
          </w:tcPr>
          <w:p>
            <w:r>
              <w:rPr>
                <w:sz w:val="15"/>
              </w:rPr>
              <w:t>3/5</w:t>
            </w:r>
          </w:p>
        </w:tc>
        <w:tc>
          <w:tcPr>
            <w:tcW w:type="dxa" w:w="1728"/>
            <w:vAlign w:val="top"/>
          </w:tcPr>
          <w:p>
            <w:r>
              <w:rPr>
                <w:sz w:val="15"/>
              </w:rPr>
              <w:t>4–5/5</w:t>
            </w:r>
          </w:p>
        </w:tc>
        <w:tc>
          <w:tcPr>
            <w:tcW w:type="dxa" w:w="1728"/>
            <w:vAlign w:val="top"/>
          </w:tcPr>
          <w:p>
            <w:r>
              <w:rPr>
                <w:sz w:val="15"/>
              </w:rPr>
              <w:t>Most results align with artefacts, but E4 statistical language and 100% contract-valid wording are too strong.</w:t>
            </w:r>
          </w:p>
        </w:tc>
        <w:tc>
          <w:tcPr>
            <w:tcW w:type="dxa" w:w="1728"/>
            <w:vAlign w:val="top"/>
          </w:tcPr>
          <w:p>
            <w:r>
              <w:rPr>
                <w:sz w:val="15"/>
              </w:rPr>
              <w:t>Use implemented-screen validity for the old E5 measure; add strict-screen results separately. Describe the five-seed E4 bootstrap as exploratory. Preserve negative findings such as E5 lower paired accuracy and E4 non-additivity.</w:t>
            </w:r>
          </w:p>
        </w:tc>
        <w:tc>
          <w:tcPr>
            <w:tcW w:type="dxa" w:w="1728"/>
            <w:vAlign w:val="top"/>
          </w:tcPr>
          <w:p>
            <w:r>
              <w:rPr>
                <w:sz w:val="15"/>
              </w:rPr>
              <w:t>R2, R5 + writing</w:t>
            </w:r>
          </w:p>
        </w:tc>
      </w:tr>
      <w:tr>
        <w:tc>
          <w:tcPr>
            <w:tcW w:type="dxa" w:w="1728"/>
            <w:vAlign w:val="top"/>
          </w:tcPr>
          <w:p>
            <w:r>
              <w:rPr>
                <w:sz w:val="15"/>
              </w:rPr>
              <w:t>Related work and positioning</w:t>
            </w:r>
          </w:p>
        </w:tc>
        <w:tc>
          <w:tcPr>
            <w:tcW w:type="dxa" w:w="1728"/>
            <w:vAlign w:val="top"/>
          </w:tcPr>
          <w:p>
            <w:r>
              <w:rPr>
                <w:sz w:val="15"/>
              </w:rPr>
              <w:t>3/5</w:t>
            </w:r>
          </w:p>
        </w:tc>
        <w:tc>
          <w:tcPr>
            <w:tcW w:type="dxa" w:w="1728"/>
            <w:vAlign w:val="top"/>
          </w:tcPr>
          <w:p>
            <w:r>
              <w:rPr>
                <w:sz w:val="15"/>
              </w:rPr>
              <w:t>4/5</w:t>
            </w:r>
          </w:p>
        </w:tc>
        <w:tc>
          <w:tcPr>
            <w:tcW w:type="dxa" w:w="1728"/>
            <w:vAlign w:val="top"/>
          </w:tcPr>
          <w:p>
            <w:r>
              <w:rPr>
                <w:sz w:val="15"/>
              </w:rPr>
              <w:t>Close related work is covered, but standards and intent-model frameworks need stronger positioning.</w:t>
            </w:r>
          </w:p>
        </w:tc>
        <w:tc>
          <w:tcPr>
            <w:tcW w:type="dxa" w:w="1728"/>
            <w:vAlign w:val="top"/>
          </w:tcPr>
          <w:p>
            <w:r>
              <w:rPr>
                <w:sz w:val="15"/>
              </w:rPr>
              <w:t>Add concise positioning against relevant 3GPP specifications and frameworks such as GSMA GST/NEST, TM Forum intent APIs, and ETSI ZSM, or explicitly scope them out. Distinguish service-type selection from lifecycle orchestration.</w:t>
            </w:r>
          </w:p>
        </w:tc>
        <w:tc>
          <w:tcPr>
            <w:tcW w:type="dxa" w:w="1728"/>
            <w:vAlign w:val="top"/>
          </w:tcPr>
          <w:p>
            <w:r>
              <w:rPr>
                <w:sz w:val="15"/>
              </w:rPr>
              <w:t>No new experiment</w:t>
            </w:r>
          </w:p>
        </w:tc>
      </w:tr>
      <w:tr>
        <w:tc>
          <w:tcPr>
            <w:tcW w:type="dxa" w:w="1728"/>
            <w:vAlign w:val="top"/>
          </w:tcPr>
          <w:p>
            <w:r>
              <w:rPr>
                <w:sz w:val="15"/>
              </w:rPr>
              <w:t>Reproducibility</w:t>
            </w:r>
          </w:p>
        </w:tc>
        <w:tc>
          <w:tcPr>
            <w:tcW w:type="dxa" w:w="1728"/>
            <w:vAlign w:val="top"/>
          </w:tcPr>
          <w:p>
            <w:r>
              <w:rPr>
                <w:sz w:val="15"/>
              </w:rPr>
              <w:t>2/5</w:t>
            </w:r>
          </w:p>
        </w:tc>
        <w:tc>
          <w:tcPr>
            <w:tcW w:type="dxa" w:w="1728"/>
            <w:vAlign w:val="top"/>
          </w:tcPr>
          <w:p>
            <w:r>
              <w:rPr>
                <w:sz w:val="15"/>
              </w:rPr>
              <w:t>4–5/5</w:t>
            </w:r>
          </w:p>
        </w:tc>
        <w:tc>
          <w:tcPr>
            <w:tcW w:type="dxa" w:w="1728"/>
            <w:vAlign w:val="top"/>
          </w:tcPr>
          <w:p>
            <w:r>
              <w:rPr>
                <w:sz w:val="15"/>
              </w:rPr>
              <w:t>Artefacts exist, but the manuscript lacks enough environment, model-version, timing, and remote-LLM replication detail.</w:t>
            </w:r>
          </w:p>
        </w:tc>
        <w:tc>
          <w:tcPr>
            <w:tcW w:type="dxa" w:w="1728"/>
            <w:vAlign w:val="top"/>
          </w:tcPr>
          <w:p>
            <w:r>
              <w:rPr>
                <w:sz w:val="15"/>
              </w:rPr>
              <w:t>Add a reproducibility table covering Python/packages, hardware/runtime, seeds, corpus sizes, model-selection procedure, Qwen identifier/provider/settings, cache/replay mechanism, and local-versus-remote timing basis. Check in cleaned notebooks, authoritative source, and final result files.</w:t>
            </w:r>
          </w:p>
        </w:tc>
        <w:tc>
          <w:tcPr>
            <w:tcW w:type="dxa" w:w="1728"/>
            <w:vAlign w:val="top"/>
          </w:tcPr>
          <w:p>
            <w:r>
              <w:rPr>
                <w:sz w:val="15"/>
              </w:rPr>
              <w:t>Documentation</w:t>
            </w:r>
          </w:p>
        </w:tc>
      </w:tr>
      <w:tr>
        <w:tc>
          <w:tcPr>
            <w:tcW w:type="dxa" w:w="1728"/>
            <w:vAlign w:val="top"/>
          </w:tcPr>
          <w:p>
            <w:r>
              <w:rPr>
                <w:sz w:val="15"/>
              </w:rPr>
              <w:t>Limitations and honesty</w:t>
            </w:r>
          </w:p>
        </w:tc>
        <w:tc>
          <w:tcPr>
            <w:tcW w:type="dxa" w:w="1728"/>
            <w:vAlign w:val="top"/>
          </w:tcPr>
          <w:p>
            <w:r>
              <w:rPr>
                <w:sz w:val="15"/>
              </w:rPr>
              <w:t>4/5</w:t>
            </w:r>
          </w:p>
        </w:tc>
        <w:tc>
          <w:tcPr>
            <w:tcW w:type="dxa" w:w="1728"/>
            <w:vAlign w:val="top"/>
          </w:tcPr>
          <w:p>
            <w:r>
              <w:rPr>
                <w:sz w:val="15"/>
              </w:rPr>
              <w:t>5/5</w:t>
            </w:r>
          </w:p>
        </w:tc>
        <w:tc>
          <w:tcPr>
            <w:tcW w:type="dxa" w:w="1728"/>
            <w:vAlign w:val="top"/>
          </w:tcPr>
          <w:p>
            <w:r>
              <w:rPr>
                <w:sz w:val="15"/>
              </w:rPr>
              <w:t>Already strong, but class-conditioned phrase generation and the unexercised E5 retry path need explicit acknowledgement.</w:t>
            </w:r>
          </w:p>
        </w:tc>
        <w:tc>
          <w:tcPr>
            <w:tcW w:type="dxa" w:w="1728"/>
            <w:vAlign w:val="top"/>
          </w:tcPr>
          <w:p>
            <w:r>
              <w:rPr>
                <w:sz w:val="15"/>
              </w:rPr>
              <w:t>State lexical-cue leakage, synthetic scope, strict-vs-partial feasibility, E5 N=100, zero observed retries, absence of deployment/human study, remote LLM latency, and perturbation limitations.</w:t>
            </w:r>
          </w:p>
        </w:tc>
        <w:tc>
          <w:tcPr>
            <w:tcW w:type="dxa" w:w="1728"/>
            <w:vAlign w:val="top"/>
          </w:tcPr>
          <w:p>
            <w:r>
              <w:rPr>
                <w:sz w:val="15"/>
              </w:rPr>
              <w:t>No new experiment</w:t>
            </w:r>
          </w:p>
        </w:tc>
      </w:tr>
      <w:tr>
        <w:tc>
          <w:tcPr>
            <w:tcW w:type="dxa" w:w="1728"/>
            <w:vAlign w:val="top"/>
          </w:tcPr>
          <w:p>
            <w:r>
              <w:rPr>
                <w:sz w:val="15"/>
              </w:rPr>
              <w:t>Presentation and technical clarity</w:t>
            </w:r>
          </w:p>
        </w:tc>
        <w:tc>
          <w:tcPr>
            <w:tcW w:type="dxa" w:w="1728"/>
            <w:vAlign w:val="top"/>
          </w:tcPr>
          <w:p>
            <w:r>
              <w:rPr>
                <w:sz w:val="15"/>
              </w:rPr>
              <w:t>3/5</w:t>
            </w:r>
          </w:p>
        </w:tc>
        <w:tc>
          <w:tcPr>
            <w:tcW w:type="dxa" w:w="1728"/>
            <w:vAlign w:val="top"/>
          </w:tcPr>
          <w:p>
            <w:r>
              <w:rPr>
                <w:sz w:val="15"/>
              </w:rPr>
              <w:t>4–5/5</w:t>
            </w:r>
          </w:p>
        </w:tc>
        <w:tc>
          <w:tcPr>
            <w:tcW w:type="dxa" w:w="1728"/>
            <w:vAlign w:val="top"/>
          </w:tcPr>
          <w:p>
            <w:r>
              <w:rPr>
                <w:sz w:val="15"/>
              </w:rPr>
              <w:t>Contract predicate, candidate-screening role, and timing basis are not operationally clear.</w:t>
            </w:r>
          </w:p>
        </w:tc>
        <w:tc>
          <w:tcPr>
            <w:tcW w:type="dxa" w:w="1728"/>
            <w:vAlign w:val="top"/>
          </w:tcPr>
          <w:p>
            <w:r>
              <w:rPr>
                <w:sz w:val="15"/>
              </w:rPr>
              <w:t>Use the two-figure architecture. Define agents/tools operationally. Make candidate masking match the architecture. State that E1/E2 timings are independently measured batch-average wall times. Use lexical similarity prior rather than semantic prior for character n-gram TF-IDF.</w:t>
            </w:r>
          </w:p>
        </w:tc>
        <w:tc>
          <w:tcPr>
            <w:tcW w:type="dxa" w:w="1728"/>
            <w:vAlign w:val="top"/>
          </w:tcPr>
          <w:p>
            <w:r>
              <w:rPr>
                <w:sz w:val="15"/>
              </w:rPr>
              <w:t>R3 + writing</w:t>
            </w:r>
          </w:p>
        </w:tc>
      </w:tr>
      <w:tr>
        <w:tc>
          <w:tcPr>
            <w:tcW w:type="dxa" w:w="1728"/>
            <w:vAlign w:val="top"/>
          </w:tcPr>
          <w:p>
            <w:r>
              <w:rPr>
                <w:sz w:val="15"/>
              </w:rPr>
              <w:t>Overall</w:t>
            </w:r>
          </w:p>
        </w:tc>
        <w:tc>
          <w:tcPr>
            <w:tcW w:type="dxa" w:w="1728"/>
            <w:vAlign w:val="top"/>
          </w:tcPr>
          <w:p>
            <w:r>
              <w:rPr>
                <w:sz w:val="15"/>
              </w:rPr>
              <w:t>2/5</w:t>
            </w:r>
          </w:p>
        </w:tc>
        <w:tc>
          <w:tcPr>
            <w:tcW w:type="dxa" w:w="1728"/>
            <w:vAlign w:val="top"/>
          </w:tcPr>
          <w:p>
            <w:r>
              <w:rPr>
                <w:sz w:val="15"/>
              </w:rPr>
              <w:t>~4/5</w:t>
            </w:r>
          </w:p>
        </w:tc>
        <w:tc>
          <w:tcPr>
            <w:tcW w:type="dxa" w:w="1728"/>
            <w:vAlign w:val="top"/>
          </w:tcPr>
          <w:p>
            <w:r>
              <w:rPr>
                <w:sz w:val="15"/>
              </w:rPr>
              <w:t>Central claims depend too strongly on synthetic lexical cues and permissive feasibility.</w:t>
            </w:r>
          </w:p>
        </w:tc>
        <w:tc>
          <w:tcPr>
            <w:tcW w:type="dxa" w:w="1728"/>
            <w:vAlign w:val="top"/>
          </w:tcPr>
          <w:p>
            <w:r>
              <w:rPr>
                <w:sz w:val="15"/>
              </w:rPr>
              <w:t>Close R1 and R2 first, then R3/R4 for methodological depth. Improve claims by making them narrower and better supported rather than attempting to make every metric positive.</w:t>
            </w:r>
          </w:p>
        </w:tc>
        <w:tc>
          <w:tcPr>
            <w:tcW w:type="dxa" w:w="1728"/>
            <w:vAlign w:val="top"/>
          </w:tcPr>
          <w:p>
            <w:r>
              <w:rPr>
                <w:sz w:val="15"/>
              </w:rPr>
              <w:t>Targeted revision set</w:t>
            </w:r>
          </w:p>
        </w:tc>
      </w:tr>
    </w:tbl>
    <w:p>
      <w:pPr>
        <w:pStyle w:val="Heading1"/>
      </w:pPr>
      <w:r>
        <w:t>3. Experiment Priority</w:t>
      </w:r>
    </w:p>
    <w:p>
      <w:r>
        <w:rPr>
          <w:b/>
        </w:rPr>
        <w:t xml:space="preserve">Tier 1 — Must do before resubmission: </w:t>
      </w:r>
      <w:r>
        <w:t>R1 Phrase-Held-Out / Generic+KPI / KPI-only; R2 Strict Feasibility Audit; R3 Candidate Masking. These directly address framing, methodology, claims, clarity, and the overall verdict.</w:t>
      </w:r>
    </w:p>
    <w:p>
      <w:r>
        <w:rPr>
          <w:b/>
        </w:rPr>
        <w:t xml:space="preserve">Tier 2 — Strongly recommended: </w:t>
      </w:r>
      <w:r>
        <w:t>R4 Grouped XAI Perturbation and R5 Paired Uncertainty. These strengthen explainability rigour and statistical credibility.</w:t>
      </w:r>
    </w:p>
    <w:p>
      <w:r>
        <w:rPr>
          <w:b/>
        </w:rPr>
        <w:t xml:space="preserve">Tier 3 — Useful if time permits: </w:t>
      </w:r>
      <w:r>
        <w:t>R6 Strong Classical Baseline, such as character n-gram TF-IDF plus multinomial logistic regression and/or nearest-envelope distance.</w:t>
      </w:r>
    </w:p>
    <w:p>
      <w:pPr>
        <w:pStyle w:val="Heading1"/>
      </w:pPr>
      <w:r>
        <w:t>4. Revision Experiments</w:t>
      </w:r>
    </w:p>
    <w:p>
      <w:r>
        <w:rPr>
          <w:b/>
        </w:rPr>
        <w:t>R1 — Phrase-Held-Out Generalization</w:t>
      </w:r>
    </w:p>
    <w:p>
      <w:r>
        <w:t>Evaluate four difficulty levels: original synthetic split; phrase-group held-out; shared generic wording + KPIs; KPI-only. This is the highest-priority experiment because it tests whether performance survives removal of class-specific lexical cues.</w:t>
      </w:r>
    </w:p>
    <w:p>
      <w:r>
        <w:rPr>
          <w:b/>
        </w:rPr>
        <w:t>R2 — Strict Feasibility Audit</w:t>
      </w:r>
    </w:p>
    <w:p>
      <w:r>
        <w:t>Evaluate all represented KPI dimensions, include mobility where claimed, remove the empty-set-to-all-slices fallback, count infeasible cases, and distinguish partial-screen validity from strict feasibility.</w:t>
      </w:r>
    </w:p>
    <w:p>
      <w:r>
        <w:rPr>
          <w:b/>
        </w:rPr>
        <w:t>R3 — Candidate Masking</w:t>
      </w:r>
    </w:p>
    <w:p>
      <w:r>
        <w:t>Compare unconstrained classification with feasibility-constrained classification by masking infeasible classes before final selection. Report accuracy, strict validity, escalation rate, and infeasible-selection rate.</w:t>
      </w:r>
    </w:p>
    <w:p>
      <w:r>
        <w:rPr>
          <w:b/>
        </w:rPr>
        <w:t>R4 — Grouped Explainability Perturbation</w:t>
      </w:r>
    </w:p>
    <w:p>
      <w:r>
        <w:t>Perturb logically linked raw and derived/log features together. Compare top-ranked groups with random and bottom-ranked groups. Report the result as perturbation sensitivity unless stronger faithfulness evidence is added.</w:t>
      </w:r>
    </w:p>
    <w:p>
      <w:r>
        <w:rPr>
          <w:b/>
        </w:rPr>
        <w:t>R5 — Paired Uncertainty</w:t>
      </w:r>
    </w:p>
    <w:p>
      <w:r>
        <w:t>Use paired bootstrap analysis over the same held-out E3 intents and report group counts and uncertainty around lexical-prior versus TF-IDF differences.</w:t>
      </w:r>
    </w:p>
    <w:p>
      <w:r>
        <w:rPr>
          <w:b/>
        </w:rPr>
        <w:t>R6 — Strong Classical Baseline</w:t>
      </w:r>
    </w:p>
    <w:p>
      <w:r>
        <w:t>Add a low-cost text baseline such as character n-gram TF-IDF plus multinomial logistic regression and/or nearest-envelope distance.</w:t>
      </w:r>
    </w:p>
    <w:p>
      <w:pPr>
        <w:pStyle w:val="Heading1"/>
      </w:pPr>
      <w:r>
        <w:t>5. Revised Scientific Positioning</w:t>
      </w:r>
    </w:p>
    <w:p>
      <w:r>
        <w:t>The novelty should not be presented as the invention of SHAP, TF-IDF, LLM agents, or explainable network slicing. A stronger contribution is a controlled empirical study of how lexical generalization, explanation mechanisms, feasibility constraints, and tool-using agentic interpretation interact in intent-driven network slice selection. The paper should quantify accuracy, robustness, explanation cost, feasibility, escalation, and structured-agent trade-offs under progressively stricter evaluation conditions.</w:t>
      </w:r>
    </w:p>
    <w:p>
      <w:pPr>
        <w:pStyle w:val="Heading1"/>
      </w:pPr>
      <w:r>
        <w:t>6. Proposed Difficulty Ladder</w:t>
      </w:r>
    </w:p>
    <w:p>
      <w:pPr>
        <w:pStyle w:val="ListBullet"/>
      </w:pPr>
      <w:r>
        <w:t>Level 1 — Original synthetic split: preserve the existing E1–E4 evidence.</w:t>
      </w:r>
    </w:p>
    <w:p>
      <w:pPr>
        <w:pStyle w:val="ListBullet"/>
      </w:pPr>
      <w:r>
        <w:t>Level 2 — Phrase-group held-out: no identical class-associated phrase is available during training.</w:t>
      </w:r>
    </w:p>
    <w:p>
      <w:pPr>
        <w:pStyle w:val="ListBullet"/>
      </w:pPr>
      <w:r>
        <w:t>Level 3 — Shared generic wording + KPIs: remove class-specific lexical cues.</w:t>
      </w:r>
    </w:p>
    <w:p>
      <w:pPr>
        <w:pStyle w:val="ListBullet"/>
      </w:pPr>
      <w:r>
        <w:t>Level 4 — KPI-only: evaluate without use-case wording.</w:t>
      </w:r>
    </w:p>
    <w:p>
      <w:pPr>
        <w:pStyle w:val="Heading1"/>
      </w:pPr>
      <w:r>
        <w:t>7. Reproducibility Checklist</w:t>
      </w:r>
    </w:p>
    <w:p>
      <w:pPr>
        <w:pStyle w:val="ListBullet"/>
      </w:pPr>
      <w:r>
        <w:t>E1–E4 seeds: 42–46; E5 independent seed: 52; E5 sample: N=100.</w:t>
      </w:r>
    </w:p>
    <w:p>
      <w:pPr>
        <w:pStyle w:val="ListBullet"/>
      </w:pPr>
      <w:r>
        <w:t>Exact Python and package versions.</w:t>
      </w:r>
    </w:p>
    <w:p>
      <w:pPr>
        <w:pStyle w:val="ListBullet"/>
      </w:pPr>
      <w:r>
        <w:t>Hardware/runtime and timing measurement basis.</w:t>
      </w:r>
    </w:p>
    <w:p>
      <w:pPr>
        <w:pStyle w:val="ListBullet"/>
      </w:pPr>
      <w:r>
        <w:t>Model-selection procedure and corpus-generation details.</w:t>
      </w:r>
    </w:p>
    <w:p>
      <w:pPr>
        <w:pStyle w:val="ListBullet"/>
      </w:pPr>
      <w:r>
        <w:t>Exact Qwen model identifier, provider, temperature, inference settings, and tool configuration.</w:t>
      </w:r>
    </w:p>
    <w:p>
      <w:pPr>
        <w:pStyle w:val="ListBullet"/>
      </w:pPr>
      <w:r>
        <w:t>Fixed LLM cache/replay artefact and explanation of replayability.</w:t>
      </w:r>
    </w:p>
    <w:p>
      <w:pPr>
        <w:pStyle w:val="ListBullet"/>
      </w:pPr>
      <w:r>
        <w:t>Clear separation of local model/explainer timings from remote LLM wall time.</w:t>
      </w:r>
    </w:p>
    <w:p>
      <w:pPr>
        <w:pStyle w:val="ListBullet"/>
      </w:pPr>
      <w:r>
        <w:t>Clean notebooks, authoritative source code, final results, manifest, and checksums.</w:t>
      </w:r>
    </w:p>
    <w:p>
      <w:pPr>
        <w:pStyle w:val="Heading1"/>
      </w:pPr>
      <w:r>
        <w:t>8. Realistic Score Target</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Dimension</w:t>
            </w:r>
          </w:p>
        </w:tc>
        <w:tc>
          <w:tcPr>
            <w:tcW w:type="dxa" w:w="3456"/>
          </w:tcPr>
          <w:p>
            <w:r>
              <w:rPr>
                <w:b/>
              </w:rPr>
              <w:t>Current</w:t>
            </w:r>
          </w:p>
        </w:tc>
        <w:tc>
          <w:tcPr>
            <w:tcW w:type="dxa" w:w="3456"/>
          </w:tcPr>
          <w:p>
            <w:r>
              <w:rPr>
                <w:b/>
              </w:rPr>
              <w:t>Target</w:t>
            </w:r>
          </w:p>
        </w:tc>
      </w:tr>
      <w:tr>
        <w:tc>
          <w:tcPr>
            <w:tcW w:type="dxa" w:w="3456"/>
          </w:tcPr>
          <w:p>
            <w:r>
              <w:t>Novelty &amp; significance</w:t>
            </w:r>
          </w:p>
        </w:tc>
        <w:tc>
          <w:tcPr>
            <w:tcW w:type="dxa" w:w="3456"/>
          </w:tcPr>
          <w:p>
            <w:r>
              <w:t>2</w:t>
            </w:r>
          </w:p>
        </w:tc>
        <w:tc>
          <w:tcPr>
            <w:tcW w:type="dxa" w:w="3456"/>
          </w:tcPr>
          <w:p>
            <w:r>
              <w:t>3–4</w:t>
            </w:r>
          </w:p>
        </w:tc>
      </w:tr>
      <w:tr>
        <w:tc>
          <w:tcPr>
            <w:tcW w:type="dxa" w:w="3456"/>
          </w:tcPr>
          <w:p>
            <w:r>
              <w:t>Problem formulation</w:t>
            </w:r>
          </w:p>
        </w:tc>
        <w:tc>
          <w:tcPr>
            <w:tcW w:type="dxa" w:w="3456"/>
          </w:tcPr>
          <w:p>
            <w:r>
              <w:t>2</w:t>
            </w:r>
          </w:p>
        </w:tc>
        <w:tc>
          <w:tcPr>
            <w:tcW w:type="dxa" w:w="3456"/>
          </w:tcPr>
          <w:p>
            <w:r>
              <w:t>4</w:t>
            </w:r>
          </w:p>
        </w:tc>
      </w:tr>
      <w:tr>
        <w:tc>
          <w:tcPr>
            <w:tcW w:type="dxa" w:w="3456"/>
          </w:tcPr>
          <w:p>
            <w:r>
              <w:t>Methodological soundness</w:t>
            </w:r>
          </w:p>
        </w:tc>
        <w:tc>
          <w:tcPr>
            <w:tcW w:type="dxa" w:w="3456"/>
          </w:tcPr>
          <w:p>
            <w:r>
              <w:t>2</w:t>
            </w:r>
          </w:p>
        </w:tc>
        <w:tc>
          <w:tcPr>
            <w:tcW w:type="dxa" w:w="3456"/>
          </w:tcPr>
          <w:p>
            <w:r>
              <w:t>4</w:t>
            </w:r>
          </w:p>
        </w:tc>
      </w:tr>
      <w:tr>
        <w:tc>
          <w:tcPr>
            <w:tcW w:type="dxa" w:w="3456"/>
          </w:tcPr>
          <w:p>
            <w:r>
              <w:t>Explainability rigour</w:t>
            </w:r>
          </w:p>
        </w:tc>
        <w:tc>
          <w:tcPr>
            <w:tcW w:type="dxa" w:w="3456"/>
          </w:tcPr>
          <w:p>
            <w:r>
              <w:t>2</w:t>
            </w:r>
          </w:p>
        </w:tc>
        <w:tc>
          <w:tcPr>
            <w:tcW w:type="dxa" w:w="3456"/>
          </w:tcPr>
          <w:p>
            <w:r>
              <w:t>3–4</w:t>
            </w:r>
          </w:p>
        </w:tc>
      </w:tr>
      <w:tr>
        <w:tc>
          <w:tcPr>
            <w:tcW w:type="dxa" w:w="3456"/>
          </w:tcPr>
          <w:p>
            <w:r>
              <w:t>Results &amp; interpretation</w:t>
            </w:r>
          </w:p>
        </w:tc>
        <w:tc>
          <w:tcPr>
            <w:tcW w:type="dxa" w:w="3456"/>
          </w:tcPr>
          <w:p>
            <w:r>
              <w:t>3</w:t>
            </w:r>
          </w:p>
        </w:tc>
        <w:tc>
          <w:tcPr>
            <w:tcW w:type="dxa" w:w="3456"/>
          </w:tcPr>
          <w:p>
            <w:r>
              <w:t>4–5</w:t>
            </w:r>
          </w:p>
        </w:tc>
      </w:tr>
      <w:tr>
        <w:tc>
          <w:tcPr>
            <w:tcW w:type="dxa" w:w="3456"/>
          </w:tcPr>
          <w:p>
            <w:r>
              <w:t>Related work</w:t>
            </w:r>
          </w:p>
        </w:tc>
        <w:tc>
          <w:tcPr>
            <w:tcW w:type="dxa" w:w="3456"/>
          </w:tcPr>
          <w:p>
            <w:r>
              <w:t>3</w:t>
            </w:r>
          </w:p>
        </w:tc>
        <w:tc>
          <w:tcPr>
            <w:tcW w:type="dxa" w:w="3456"/>
          </w:tcPr>
          <w:p>
            <w:r>
              <w:t>4</w:t>
            </w:r>
          </w:p>
        </w:tc>
      </w:tr>
      <w:tr>
        <w:tc>
          <w:tcPr>
            <w:tcW w:type="dxa" w:w="3456"/>
          </w:tcPr>
          <w:p>
            <w:r>
              <w:t>Reproducibility</w:t>
            </w:r>
          </w:p>
        </w:tc>
        <w:tc>
          <w:tcPr>
            <w:tcW w:type="dxa" w:w="3456"/>
          </w:tcPr>
          <w:p>
            <w:r>
              <w:t>2</w:t>
            </w:r>
          </w:p>
        </w:tc>
        <w:tc>
          <w:tcPr>
            <w:tcW w:type="dxa" w:w="3456"/>
          </w:tcPr>
          <w:p>
            <w:r>
              <w:t>4–5</w:t>
            </w:r>
          </w:p>
        </w:tc>
      </w:tr>
      <w:tr>
        <w:tc>
          <w:tcPr>
            <w:tcW w:type="dxa" w:w="3456"/>
          </w:tcPr>
          <w:p>
            <w:r>
              <w:t>Limitations &amp; honesty</w:t>
            </w:r>
          </w:p>
        </w:tc>
        <w:tc>
          <w:tcPr>
            <w:tcW w:type="dxa" w:w="3456"/>
          </w:tcPr>
          <w:p>
            <w:r>
              <w:t>4</w:t>
            </w:r>
          </w:p>
        </w:tc>
        <w:tc>
          <w:tcPr>
            <w:tcW w:type="dxa" w:w="3456"/>
          </w:tcPr>
          <w:p>
            <w:r>
              <w:t>5</w:t>
            </w:r>
          </w:p>
        </w:tc>
      </w:tr>
      <w:tr>
        <w:tc>
          <w:tcPr>
            <w:tcW w:type="dxa" w:w="3456"/>
          </w:tcPr>
          <w:p>
            <w:r>
              <w:t>Presentation &amp; clarity</w:t>
            </w:r>
          </w:p>
        </w:tc>
        <w:tc>
          <w:tcPr>
            <w:tcW w:type="dxa" w:w="3456"/>
          </w:tcPr>
          <w:p>
            <w:r>
              <w:t>3</w:t>
            </w:r>
          </w:p>
        </w:tc>
        <w:tc>
          <w:tcPr>
            <w:tcW w:type="dxa" w:w="3456"/>
          </w:tcPr>
          <w:p>
            <w:r>
              <w:t>4–5</w:t>
            </w:r>
          </w:p>
        </w:tc>
      </w:tr>
      <w:tr>
        <w:tc>
          <w:tcPr>
            <w:tcW w:type="dxa" w:w="3456"/>
          </w:tcPr>
          <w:p>
            <w:r>
              <w:t>Overall</w:t>
            </w:r>
          </w:p>
        </w:tc>
        <w:tc>
          <w:tcPr>
            <w:tcW w:type="dxa" w:w="3456"/>
          </w:tcPr>
          <w:p>
            <w:r>
              <w:t>2</w:t>
            </w:r>
          </w:p>
        </w:tc>
        <w:tc>
          <w:tcPr>
            <w:tcW w:type="dxa" w:w="3456"/>
          </w:tcPr>
          <w:p>
            <w:r>
              <w:t>~4</w:t>
            </w:r>
          </w:p>
        </w:tc>
      </w:tr>
    </w:tbl>
    <w:p>
      <w:pPr>
        <w:pStyle w:val="Heading1"/>
      </w:pPr>
      <w:r>
        <w:t>9. Execution Rule</w:t>
      </w:r>
    </w:p>
    <w:p>
      <w:r>
        <w:t>Do not modify or overwrite the frozen E1–E5 evidence. All revision work should be placed under a separate revision_experiments/ area. Before running each experiment, identify the reviewer concern and score dimension it is intended to address; after running it, decide whether the evidence actually closes that concern.</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