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R1: Phrase Generalization and Lexical Ablation</w:t>
      </w:r>
    </w:p>
    <w:p>
      <w:r>
        <w:t>Two-page research write-up | Five seeds (42–46) | Status: PASS — CLOSED AND FROZEN</w:t>
      </w:r>
    </w:p>
    <w:p>
      <w:pPr>
        <w:pStyle w:val="Heading1"/>
      </w:pPr>
      <w:r>
        <w:t>1. Central R1 research question</w:t>
      </w:r>
    </w:p>
    <w:p>
      <w:r>
        <w:t>Does the network-slice intent classifier genuinely generalize beyond memorized class-specific phrases, and how much of its predictive performance depends on lexical use-case cues rather than observable network KPIs?</w:t>
      </w:r>
    </w:p>
    <w:p>
      <w:r>
        <w:t>R1 tests two unknowns: (i) whether unseen phrase families cause a classification collapse; and (ii) how classification changes after removing application/use-case language while retaining parser-observable latency, throughput, reliability, density and mobility information. This is a synthetic-data generalization test, not a claim of real-network deployment readiness.</w:t>
      </w:r>
    </w:p>
    <w:p>
      <w:pPr>
        <w:pStyle w:val="Heading1"/>
      </w:pPr>
      <w:r>
        <w:t>2. Steps performed</w:t>
      </w:r>
    </w:p>
    <w:p>
      <w:r>
        <w:t>1. Established a frozen source baseline and documented a small mismatch between an older archived E1 result and direct reproduction from the currently packaged source. The packaged source reproduced consistently and was used throughout R1.</w:t>
      </w:r>
    </w:p>
    <w:p>
      <w:r>
        <w:t>2. Generated five independent synthetic corpora (3,000 intents per seed), with 1,000 eMBB, 1,000 URLLC and 1,000 mMTC ground-truth labels per corpus.</w:t>
      </w:r>
    </w:p>
    <w:p>
      <w:r>
        <w:t>3. Built four evaluation conditions: L1 original text; L2 strict phrase-family-held-out; L3 neutral “network service” phrase plus KPI-bearing text; L4 canonical KPI-only text reconstructed solely from frozen-parser-observable values.</w:t>
      </w:r>
    </w:p>
    <w:p>
      <w:r>
        <w:t>4. Audited label balance, phrase-family disjointness, split IDs, KPI-feature preservation and lexical-feature removal. L2 achieved zero phrase/family overlap; L3 and L4 were proven feature-identical downstream.</w:t>
      </w:r>
    </w:p>
    <w:p>
      <w:r>
        <w:t>5. Trained and selected candidate models using five-fold stratified cross-validation on training data only, evaluated held-out predictions, aggregated 20 condition-by-seed runs, and froze result files, audit records, checksums and the handoff archive.</w:t>
      </w:r>
    </w:p>
    <w:p>
      <w:pPr>
        <w:pStyle w:val="Heading1"/>
      </w:pPr>
      <w:r>
        <w:t>3. Training data, test data and final inference</w:t>
      </w:r>
    </w:p>
    <w:p>
      <w:r>
        <w:t>L1, L3 and L4 each use a stratified 70/30 split of the corresponding 3,000-row corpus: 2,100 training and 900 test intents per seed. L2 excludes generic use cases and splits complete class-specific phrase families instead of individual rows; across seeds, L2 uses approximately 1,368–1,403 training and 664–733 test intents, with 18 training and 9 test family keys and no family overlap. Therefore L2 and L1 test populations differ.</w:t>
      </w:r>
    </w:p>
    <w:p>
      <w:r>
        <w:t>Models considered were Logistic Regression, Decision Tree, MLP, Gradient Boosting and Random Forest. The winning model was chosen by training-only cross-validated macro-F1, not by test performance. The final inference is that strong held-out-family performance argues against a purely phrase-memorization explanation; however lexical cues still matter, as their removal consistently lowers macro-F1. These conclusions are bounded to the frozen parser and synthetic distribution.</w:t>
      </w:r>
    </w:p>
    <w:p>
      <w:pPr>
        <w:pStyle w:val="Heading1"/>
      </w:pPr>
      <w:r>
        <w:t>4. Evidence that proves or qualifies the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Condition (five seeds)</w:t>
            </w:r>
          </w:p>
        </w:tc>
        <w:tc>
          <w:tcPr>
            <w:tcW w:type="dxa" w:w="3360"/>
          </w:tcPr>
          <w:p>
            <w:r>
              <w:t>Accuracy, mean ± SD</w:t>
            </w:r>
          </w:p>
        </w:tc>
        <w:tc>
          <w:tcPr>
            <w:tcW w:type="dxa" w:w="3360"/>
          </w:tcPr>
          <w:p>
            <w:r>
              <w:t>Macro-F1, mean ± SD</w:t>
            </w:r>
          </w:p>
        </w:tc>
      </w:tr>
      <w:tr>
        <w:tc>
          <w:tcPr>
            <w:tcW w:type="dxa" w:w="3360"/>
          </w:tcPr>
          <w:p>
            <w:r>
              <w:t>L1 — Original</w:t>
            </w:r>
          </w:p>
        </w:tc>
        <w:tc>
          <w:tcPr>
            <w:tcW w:type="dxa" w:w="3360"/>
          </w:tcPr>
          <w:p>
            <w:r>
              <w:t>0.9311 ± 0.0065</w:t>
            </w:r>
          </w:p>
        </w:tc>
        <w:tc>
          <w:tcPr>
            <w:tcW w:type="dxa" w:w="3360"/>
          </w:tcPr>
          <w:p>
            <w:r>
              <w:t>0.9311 ± 0.0065</w:t>
            </w:r>
          </w:p>
        </w:tc>
      </w:tr>
      <w:tr>
        <w:tc>
          <w:tcPr>
            <w:tcW w:type="dxa" w:w="3360"/>
          </w:tcPr>
          <w:p>
            <w:r>
              <w:t>L2 — Family held-out</w:t>
            </w:r>
          </w:p>
        </w:tc>
        <w:tc>
          <w:tcPr>
            <w:tcW w:type="dxa" w:w="3360"/>
          </w:tcPr>
          <w:p>
            <w:r>
              <w:t>0.9549 ± 0.0081</w:t>
            </w:r>
          </w:p>
        </w:tc>
        <w:tc>
          <w:tcPr>
            <w:tcW w:type="dxa" w:w="3360"/>
          </w:tcPr>
          <w:p>
            <w:r>
              <w:t>0.9548 ± 0.0081</w:t>
            </w:r>
          </w:p>
        </w:tc>
      </w:tr>
      <w:tr>
        <w:tc>
          <w:tcPr>
            <w:tcW w:type="dxa" w:w="3360"/>
          </w:tcPr>
          <w:p>
            <w:r>
              <w:t>L3 — Generic + KPI</w:t>
            </w:r>
          </w:p>
        </w:tc>
        <w:tc>
          <w:tcPr>
            <w:tcW w:type="dxa" w:w="3360"/>
          </w:tcPr>
          <w:p>
            <w:r>
              <w:t>0.8920 ± 0.0080</w:t>
            </w:r>
          </w:p>
        </w:tc>
        <w:tc>
          <w:tcPr>
            <w:tcW w:type="dxa" w:w="3360"/>
          </w:tcPr>
          <w:p>
            <w:r>
              <w:t>0.8920 ± 0.0078</w:t>
            </w:r>
          </w:p>
        </w:tc>
      </w:tr>
      <w:tr>
        <w:tc>
          <w:tcPr>
            <w:tcW w:type="dxa" w:w="3360"/>
          </w:tcPr>
          <w:p>
            <w:r>
              <w:t>L4 — KPI-only</w:t>
            </w:r>
          </w:p>
        </w:tc>
        <w:tc>
          <w:tcPr>
            <w:tcW w:type="dxa" w:w="3360"/>
          </w:tcPr>
          <w:p>
            <w:r>
              <w:t>0.8920 ± 0.0080</w:t>
            </w:r>
          </w:p>
        </w:tc>
        <w:tc>
          <w:tcPr>
            <w:tcW w:type="dxa" w:w="3360"/>
          </w:tcPr>
          <w:p>
            <w:r>
              <w:t>0.8920 ± 0.0078</w:t>
            </w:r>
          </w:p>
        </w:tc>
      </w:tr>
    </w:tbl>
    <w:p>
      <w:r>
        <w:t>The paired L1-to-L3/L4 macro-F1 reductions for seeds 42–46 were 0.031169, 0.047502, 0.043783, 0.045382 and 0.027981, respectively: mean loss 0.039163 ± 0.008923, or approximately 3.92 percentage points. Accuracy fell by 0.039111 ± 0.009040. Every seed showed the same direction of change.</w:t>
      </w:r>
    </w:p>
    <w:p>
      <w:r>
        <w:t>The strongest audit evidence is: (a) zero L2 phrase/family overlap; (b) consistent five-seed ablation losses; (c) exact L3/L4 feature and result equivalence; and (d) training-only model selection with varying winners. Evidence files include r1_all_20_runs.csv, r1_five_seed_summary.csv, r1_L1_vs_L3L4_paired.csv, r1_L3_L4_equivalence.csv, final split/feature audits, R1_closure.json and SHA-256 manifests.</w:t>
      </w:r>
    </w:p>
    <w:p>
      <w:pPr>
        <w:pStyle w:val="Heading1"/>
      </w:pPr>
      <w:r>
        <w:t>5. What we learned, remaining unknowns and future directions</w:t>
      </w:r>
    </w:p>
    <w:p>
      <w:r>
        <w:t>R1 was designed to expose hidden dependence on synthetic wording. The strict family split tested whether a model trained on one set of named applications could classify different named applications; lexical ablations tested whether removing those names destroyed predictive capability. The outcome is nuanced: the model does not collapse on held-out phrase families, but removing lexical cues costs about 3.92 macro-F1 points. L3 and L4 have identical results because the frozen feature extractor maps them to the same representation; they are not two independent confirmations.</w:t>
      </w:r>
    </w:p>
    <w:p>
      <w:r>
        <w:t>Crucial limits remain. L2's higher score must not be described as an improvement over L1 because L2 excludes generic examples. The synthetic ground-truth slice is assigned before KPI blending, so ambiguous KPI-only disagreements are not necessarily ordinary model errors. Generalization to naturally written operator intents, unseen templates, distribution shifts, real telemetry and new network domains remains unproven.</w:t>
      </w:r>
    </w:p>
    <w:p>
      <w:r>
        <w:t>Future work should evaluate independently authored real/operator-like intents; leave out both use-case families and template structures; report ambiguous and nonambiguous errors separately; test paraphrases and KPI perturbations; and assess calibration, feasibility and policy violations. The next independent reviewer-response activity is R2: strict feasibility/validity auditing. R1 evidence should remain frozen.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R1 | Frozen five-seed evidence | Research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