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R1 — Phrase Generalization and Lexical Ablation</w:t>
        <w:br/>
        <w:t>Experiment Summary</w:t>
      </w:r>
    </w:p>
    <w:p>
      <w:pPr>
        <w:jc w:val="center"/>
      </w:pPr>
      <w:r>
        <w:rPr>
          <w:b/>
          <w:sz w:val="22"/>
        </w:rPr>
        <w:t>Reviewer-response experiment | Final status: PASS — CLOSED AND FROZEN</w:t>
      </w:r>
    </w:p>
    <w:p>
      <w:r>
        <w:t>This document summarizes the purpose, experimental design, execution, results, interpretation, limitations, reproducibility decisions, and final evidence produced for R1. It is intended to serve as the human-readable companion to the frozen R1 artifact package.</w:t>
      </w:r>
    </w:p>
    <w:p>
      <w:pPr>
        <w:pStyle w:val="Heading1"/>
      </w:pPr>
      <w:r>
        <w:t>1. Objective and Reviewer Concern</w:t>
      </w:r>
    </w:p>
    <w:p>
      <w:r>
        <w:t>R1 was designed to address the concern that the high network-slice classification performance could be driven mainly by memorization of synthetic, class-specific phrases or lexical cues. The experiment therefore tested two related questions: (1) whether performance collapses when phrase/use-case families appearing in the test set are excluded from training, and (2) how much classification performance changes when lexical/use-case information is removed while retaining the KPI information visible to the frozen parser.</w:t>
      </w:r>
    </w:p>
    <w:p>
      <w:pPr>
        <w:pStyle w:val="Heading1"/>
      </w:pPr>
      <w:r>
        <w:t>2. Experimental Principles</w:t>
      </w:r>
    </w:p>
    <w:p>
      <w:pPr>
        <w:pStyle w:val="ListBullet"/>
      </w:pPr>
      <w:r>
        <w:t>The existing implementation was treated as frozen. R1 was created as a separate revision experiment and did not overwrite the original E1–E5 evidence.</w:t>
      </w:r>
    </w:p>
    <w:p>
      <w:pPr>
        <w:pStyle w:val="ListBullet"/>
      </w:pPr>
      <w:r>
        <w:t>Five independent corpus seeds were evaluated: 42, 43, 44, 45, and 46.</w:t>
      </w:r>
    </w:p>
    <w:p>
      <w:pPr>
        <w:pStyle w:val="ListBullet"/>
      </w:pPr>
      <w:r>
        <w:t>Each final corpus contained 3,000 synthetic intents with balanced ground-truth classes: eMBB, URLLC, and mMTC.</w:t>
      </w:r>
    </w:p>
    <w:p>
      <w:pPr>
        <w:pStyle w:val="ListBullet"/>
      </w:pPr>
      <w:r>
        <w:t>Model selection was performed using training data only through cross-validation. The held-out test set was not used to choose the winning model.</w:t>
      </w:r>
    </w:p>
    <w:p>
      <w:pPr>
        <w:pStyle w:val="ListBullet"/>
      </w:pPr>
      <w:r>
        <w:t>Negative or unexpected findings were preserved rather than adjusted to produce a preferred result.</w:t>
      </w:r>
    </w:p>
    <w:p>
      <w:pPr>
        <w:pStyle w:val="Heading1"/>
      </w:pPr>
      <w:r>
        <w:t>3. R1 Conditions</w:t>
      </w:r>
    </w:p>
    <w:p>
      <w:r>
        <w:rPr>
          <w:b/>
        </w:rPr>
        <w:t>L1 — Original</w:t>
      </w:r>
    </w:p>
    <w:p>
      <w:r>
        <w:t>The original synthetic intent text was evaluated using the frozen feature pipeline. This condition provides the R1 reference performance.</w:t>
      </w:r>
    </w:p>
    <w:p>
      <w:r>
        <w:rPr>
          <w:b/>
        </w:rPr>
        <w:t>L2 — Phrase-family-held-out</w:t>
      </w:r>
    </w:p>
    <w:p>
      <w:r>
        <w:t>A strict class-specific phrase/use-case family holdout was used. Training and test family sets were disjoint, with zero phrase-family overlap. Generic use cases were excluded from the main L2 evaluation. This is the direct stress test for phrase-family memorization.</w:t>
      </w:r>
    </w:p>
    <w:p>
      <w:r>
        <w:rPr>
          <w:b/>
        </w:rPr>
        <w:t>L3 — Generic + KPI</w:t>
      </w:r>
    </w:p>
    <w:p>
      <w:r>
        <w:t>The class-specific use-case phrase was replaced with the neutral expression “network service,” while preserving the KPI information observable to the frozen parser. This removes explicit use-case semantics while retaining KPI-bearing language.</w:t>
      </w:r>
    </w:p>
    <w:p>
      <w:r>
        <w:rPr>
          <w:b/>
        </w:rPr>
        <w:t>L4 — KPI-only</w:t>
      </w:r>
    </w:p>
    <w:p>
      <w:r>
        <w:t>Only KPI information actually observable to the frozen parser was retained and reconstructed in canonical KPI syntax. No hidden latent KPI values were introduced. This represents the strongest lexical/use-case ablation in R1.</w:t>
      </w:r>
    </w:p>
    <w:p>
      <w:pPr>
        <w:pStyle w:val="Heading1"/>
      </w:pPr>
      <w:r>
        <w:t>4. Dataset and Split Controls</w:t>
      </w:r>
    </w:p>
    <w:p>
      <w:r>
        <w:t>The final R1 corpora were generated independently for seeds 42–46. Each corpus contained 3,000 samples and exactly 1,000 examples per slice class. The L1/L3/L4 conditions used the frozen 70/30 stratified train/test approach. L2 instead used a strict family-level partition: for each slice and use-case kind, complete phrase families were assigned either to training or testing. The final L2 construction contained 18 training family keys and 9 test family keys per seed, with zero family overlap and zero phrase overlap.</w:t>
      </w:r>
    </w:p>
    <w:p>
      <w:r>
        <w:t>Feature-level audits verified that L3 and L4 removed lexical features and preserved the intended non-lexical KPI representation. Across all five final corpora, L3 and L4 were found to map to identical full feature representations after lexical cues were removed.</w:t>
      </w:r>
    </w:p>
    <w:p>
      <w:pPr>
        <w:pStyle w:val="Heading1"/>
      </w:pPr>
      <w:r>
        <w:t>5. Model Selection Procedure</w:t>
      </w:r>
    </w:p>
    <w:p>
      <w:r>
        <w:t>The frozen E1-style candidate set included Logistic Regression, Decision Tree, MLP, Gradient Boosting, and Random Forest. Five-fold stratified cross-validation on the training partition was used for model selection, with macro-F1 as the selection metric. The selected model was therefore allowed to vary by seed and condition.</w:t>
      </w:r>
    </w:p>
    <w:p>
      <w:r>
        <w:t>The observed selection pattern supports this: Gradient Boosting was selected in four of five seeds for each condition, while Decision Tree or Random Forest won in some seed/condition combinations. This demonstrates that the final results were not produced by hard-coding a single model.</w:t>
      </w:r>
    </w:p>
    <w:p>
      <w:pPr>
        <w:pStyle w:val="Heading1"/>
      </w:pPr>
      <w:r>
        <w:t>6. Final Five-Seed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Condition</w:t>
            </w:r>
          </w:p>
        </w:tc>
        <w:tc>
          <w:tcPr>
            <w:tcW w:type="dxa" w:w="2484"/>
          </w:tcPr>
          <w:p>
            <w:r>
              <w:t>Seeds</w:t>
            </w:r>
          </w:p>
        </w:tc>
        <w:tc>
          <w:tcPr>
            <w:tcW w:type="dxa" w:w="2484"/>
          </w:tcPr>
          <w:p>
            <w:r>
              <w:t>Accuracy (mean ± SD)</w:t>
            </w:r>
          </w:p>
        </w:tc>
        <w:tc>
          <w:tcPr>
            <w:tcW w:type="dxa" w:w="2484"/>
          </w:tcPr>
          <w:p>
            <w:r>
              <w:t>Macro-F1 (mean ± SD)</w:t>
            </w:r>
          </w:p>
        </w:tc>
      </w:tr>
      <w:tr>
        <w:tc>
          <w:tcPr>
            <w:tcW w:type="dxa" w:w="2484"/>
            <w:vAlign w:val="center"/>
          </w:tcPr>
          <w:p>
            <w:r>
              <w:t>L1 — Original</w:t>
            </w:r>
          </w:p>
        </w:tc>
        <w:tc>
          <w:tcPr>
            <w:tcW w:type="dxa" w:w="2484"/>
            <w:vAlign w:val="center"/>
          </w:tcPr>
          <w:p>
            <w:r>
              <w:t>5</w:t>
            </w:r>
          </w:p>
        </w:tc>
        <w:tc>
          <w:tcPr>
            <w:tcW w:type="dxa" w:w="2484"/>
            <w:vAlign w:val="center"/>
          </w:tcPr>
          <w:p>
            <w:r>
              <w:t>0.9311 ± 0.0065</w:t>
            </w:r>
          </w:p>
        </w:tc>
        <w:tc>
          <w:tcPr>
            <w:tcW w:type="dxa" w:w="2484"/>
            <w:vAlign w:val="center"/>
          </w:tcPr>
          <w:p>
            <w:r>
              <w:t>0.9311 ± 0.0065</w:t>
            </w:r>
          </w:p>
        </w:tc>
      </w:tr>
      <w:tr>
        <w:tc>
          <w:tcPr>
            <w:tcW w:type="dxa" w:w="2484"/>
            <w:vAlign w:val="center"/>
          </w:tcPr>
          <w:p>
            <w:r>
              <w:t>L2 — Phrase-family-held-out</w:t>
            </w:r>
          </w:p>
        </w:tc>
        <w:tc>
          <w:tcPr>
            <w:tcW w:type="dxa" w:w="2484"/>
            <w:vAlign w:val="center"/>
          </w:tcPr>
          <w:p>
            <w:r>
              <w:t>5</w:t>
            </w:r>
          </w:p>
        </w:tc>
        <w:tc>
          <w:tcPr>
            <w:tcW w:type="dxa" w:w="2484"/>
            <w:vAlign w:val="center"/>
          </w:tcPr>
          <w:p>
            <w:r>
              <w:t>0.9549 ± 0.0081</w:t>
            </w:r>
          </w:p>
        </w:tc>
        <w:tc>
          <w:tcPr>
            <w:tcW w:type="dxa" w:w="2484"/>
            <w:vAlign w:val="center"/>
          </w:tcPr>
          <w:p>
            <w:r>
              <w:t>0.9548 ± 0.0081</w:t>
            </w:r>
          </w:p>
        </w:tc>
      </w:tr>
      <w:tr>
        <w:tc>
          <w:tcPr>
            <w:tcW w:type="dxa" w:w="2484"/>
            <w:vAlign w:val="center"/>
          </w:tcPr>
          <w:p>
            <w:r>
              <w:t>L3 — Generic + KPI</w:t>
            </w:r>
          </w:p>
        </w:tc>
        <w:tc>
          <w:tcPr>
            <w:tcW w:type="dxa" w:w="2484"/>
            <w:vAlign w:val="center"/>
          </w:tcPr>
          <w:p>
            <w:r>
              <w:t>5</w:t>
            </w:r>
          </w:p>
        </w:tc>
        <w:tc>
          <w:tcPr>
            <w:tcW w:type="dxa" w:w="2484"/>
            <w:vAlign w:val="center"/>
          </w:tcPr>
          <w:p>
            <w:r>
              <w:t>0.8920 ± 0.0080</w:t>
            </w:r>
          </w:p>
        </w:tc>
        <w:tc>
          <w:tcPr>
            <w:tcW w:type="dxa" w:w="2484"/>
            <w:vAlign w:val="center"/>
          </w:tcPr>
          <w:p>
            <w:r>
              <w:t>0.8920 ± 0.0078</w:t>
            </w:r>
          </w:p>
        </w:tc>
      </w:tr>
      <w:tr>
        <w:tc>
          <w:tcPr>
            <w:tcW w:type="dxa" w:w="2484"/>
            <w:vAlign w:val="center"/>
          </w:tcPr>
          <w:p>
            <w:r>
              <w:t>L4 — KPI-only</w:t>
            </w:r>
          </w:p>
        </w:tc>
        <w:tc>
          <w:tcPr>
            <w:tcW w:type="dxa" w:w="2484"/>
            <w:vAlign w:val="center"/>
          </w:tcPr>
          <w:p>
            <w:r>
              <w:t>5</w:t>
            </w:r>
          </w:p>
        </w:tc>
        <w:tc>
          <w:tcPr>
            <w:tcW w:type="dxa" w:w="2484"/>
            <w:vAlign w:val="center"/>
          </w:tcPr>
          <w:p>
            <w:r>
              <w:t>0.8920 ± 0.0080</w:t>
            </w:r>
          </w:p>
        </w:tc>
        <w:tc>
          <w:tcPr>
            <w:tcW w:type="dxa" w:w="2484"/>
            <w:vAlign w:val="center"/>
          </w:tcPr>
          <w:p>
            <w:r>
              <w:t>0.8920 ± 0.0078</w:t>
            </w:r>
          </w:p>
        </w:tc>
      </w:tr>
    </w:tbl>
    <w:p>
      <w:r>
        <w:t>Across the five seeds, the mean L1 → L3/L4 accuracy reduction was 0.0391 ± 0.0090 and the mean macro-F1 reduction was 0.0392 ± 0.0089. Thus, removing lexical/use-case information reduced macro-F1 by approximately 3.92 percentage points on average.</w:t>
      </w:r>
    </w:p>
    <w:p>
      <w:pPr>
        <w:pStyle w:val="Heading1"/>
      </w:pPr>
      <w:r>
        <w:t>7. Seed-Level Lexical-Ablation Effect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Seed</w:t>
            </w:r>
          </w:p>
        </w:tc>
        <w:tc>
          <w:tcPr>
            <w:tcW w:type="dxa" w:w="1987"/>
          </w:tcPr>
          <w:p>
            <w:r>
              <w:t>L1 Accuracy</w:t>
            </w:r>
          </w:p>
        </w:tc>
        <w:tc>
          <w:tcPr>
            <w:tcW w:type="dxa" w:w="1987"/>
          </w:tcPr>
          <w:p>
            <w:r>
              <w:t>L3/L4 Accuracy</w:t>
            </w:r>
          </w:p>
        </w:tc>
        <w:tc>
          <w:tcPr>
            <w:tcW w:type="dxa" w:w="1987"/>
          </w:tcPr>
          <w:p>
            <w:r>
              <w:t>Accuracy Drop</w:t>
            </w:r>
          </w:p>
        </w:tc>
        <w:tc>
          <w:tcPr>
            <w:tcW w:type="dxa" w:w="1987"/>
          </w:tcPr>
          <w:p>
            <w:r>
              <w:t>Macro-F1 Drop</w:t>
            </w:r>
          </w:p>
        </w:tc>
      </w:tr>
      <w:tr>
        <w:tc>
          <w:tcPr>
            <w:tcW w:type="dxa" w:w="1987"/>
          </w:tcPr>
          <w:p>
            <w:r>
              <w:t>42</w:t>
            </w:r>
          </w:p>
        </w:tc>
        <w:tc>
          <w:tcPr>
            <w:tcW w:type="dxa" w:w="1987"/>
          </w:tcPr>
          <w:p>
            <w:r>
              <w:t>0.927778</w:t>
            </w:r>
          </w:p>
        </w:tc>
        <w:tc>
          <w:tcPr>
            <w:tcW w:type="dxa" w:w="1987"/>
          </w:tcPr>
          <w:p>
            <w:r>
              <w:t>0.896667</w:t>
            </w:r>
          </w:p>
        </w:tc>
        <w:tc>
          <w:tcPr>
            <w:tcW w:type="dxa" w:w="1987"/>
          </w:tcPr>
          <w:p>
            <w:r>
              <w:t>0.031111</w:t>
            </w:r>
          </w:p>
        </w:tc>
        <w:tc>
          <w:tcPr>
            <w:tcW w:type="dxa" w:w="1987"/>
          </w:tcPr>
          <w:p>
            <w:r>
              <w:t>0.031169</w:t>
            </w:r>
          </w:p>
        </w:tc>
      </w:tr>
      <w:tr>
        <w:tc>
          <w:tcPr>
            <w:tcW w:type="dxa" w:w="1987"/>
          </w:tcPr>
          <w:p>
            <w:r>
              <w:t>43</w:t>
            </w:r>
          </w:p>
        </w:tc>
        <w:tc>
          <w:tcPr>
            <w:tcW w:type="dxa" w:w="1987"/>
          </w:tcPr>
          <w:p>
            <w:r>
              <w:t>0.930000</w:t>
            </w:r>
          </w:p>
        </w:tc>
        <w:tc>
          <w:tcPr>
            <w:tcW w:type="dxa" w:w="1987"/>
          </w:tcPr>
          <w:p>
            <w:r>
              <w:t>0.882222</w:t>
            </w:r>
          </w:p>
        </w:tc>
        <w:tc>
          <w:tcPr>
            <w:tcW w:type="dxa" w:w="1987"/>
          </w:tcPr>
          <w:p>
            <w:r>
              <w:t>0.047778</w:t>
            </w:r>
          </w:p>
        </w:tc>
        <w:tc>
          <w:tcPr>
            <w:tcW w:type="dxa" w:w="1987"/>
          </w:tcPr>
          <w:p>
            <w:r>
              <w:t>0.047502</w:t>
            </w:r>
          </w:p>
        </w:tc>
      </w:tr>
      <w:tr>
        <w:tc>
          <w:tcPr>
            <w:tcW w:type="dxa" w:w="1987"/>
          </w:tcPr>
          <w:p>
            <w:r>
              <w:t>44</w:t>
            </w:r>
          </w:p>
        </w:tc>
        <w:tc>
          <w:tcPr>
            <w:tcW w:type="dxa" w:w="1987"/>
          </w:tcPr>
          <w:p>
            <w:r>
              <w:t>0.942222</w:t>
            </w:r>
          </w:p>
        </w:tc>
        <w:tc>
          <w:tcPr>
            <w:tcW w:type="dxa" w:w="1987"/>
          </w:tcPr>
          <w:p>
            <w:r>
              <w:t>0.898889</w:t>
            </w:r>
          </w:p>
        </w:tc>
        <w:tc>
          <w:tcPr>
            <w:tcW w:type="dxa" w:w="1987"/>
          </w:tcPr>
          <w:p>
            <w:r>
              <w:t>0.043333</w:t>
            </w:r>
          </w:p>
        </w:tc>
        <w:tc>
          <w:tcPr>
            <w:tcW w:type="dxa" w:w="1987"/>
          </w:tcPr>
          <w:p>
            <w:r>
              <w:t>0.043783</w:t>
            </w:r>
          </w:p>
        </w:tc>
      </w:tr>
      <w:tr>
        <w:tc>
          <w:tcPr>
            <w:tcW w:type="dxa" w:w="1987"/>
          </w:tcPr>
          <w:p>
            <w:r>
              <w:t>45</w:t>
            </w:r>
          </w:p>
        </w:tc>
        <w:tc>
          <w:tcPr>
            <w:tcW w:type="dxa" w:w="1987"/>
          </w:tcPr>
          <w:p>
            <w:r>
              <w:t>0.930000</w:t>
            </w:r>
          </w:p>
        </w:tc>
        <w:tc>
          <w:tcPr>
            <w:tcW w:type="dxa" w:w="1987"/>
          </w:tcPr>
          <w:p>
            <w:r>
              <w:t>0.884444</w:t>
            </w:r>
          </w:p>
        </w:tc>
        <w:tc>
          <w:tcPr>
            <w:tcW w:type="dxa" w:w="1987"/>
          </w:tcPr>
          <w:p>
            <w:r>
              <w:t>0.045556</w:t>
            </w:r>
          </w:p>
        </w:tc>
        <w:tc>
          <w:tcPr>
            <w:tcW w:type="dxa" w:w="1987"/>
          </w:tcPr>
          <w:p>
            <w:r>
              <w:t>0.045382</w:t>
            </w:r>
          </w:p>
        </w:tc>
      </w:tr>
      <w:tr>
        <w:tc>
          <w:tcPr>
            <w:tcW w:type="dxa" w:w="1987"/>
          </w:tcPr>
          <w:p>
            <w:r>
              <w:t>46</w:t>
            </w:r>
          </w:p>
        </w:tc>
        <w:tc>
          <w:tcPr>
            <w:tcW w:type="dxa" w:w="1987"/>
          </w:tcPr>
          <w:p>
            <w:r>
              <w:t>0.925556</w:t>
            </w:r>
          </w:p>
        </w:tc>
        <w:tc>
          <w:tcPr>
            <w:tcW w:type="dxa" w:w="1987"/>
          </w:tcPr>
          <w:p>
            <w:r>
              <w:t>0.897778</w:t>
            </w:r>
          </w:p>
        </w:tc>
        <w:tc>
          <w:tcPr>
            <w:tcW w:type="dxa" w:w="1987"/>
          </w:tcPr>
          <w:p>
            <w:r>
              <w:t>0.027778</w:t>
            </w:r>
          </w:p>
        </w:tc>
        <w:tc>
          <w:tcPr>
            <w:tcW w:type="dxa" w:w="1987"/>
          </w:tcPr>
          <w:p>
            <w:r>
              <w:t>0.027981</w:t>
            </w:r>
          </w:p>
        </w:tc>
      </w:tr>
    </w:tbl>
    <w:p>
      <w:r>
        <w:t>The direction of the ablation effect was consistent across all five seeds: L3/L4 performance was lower than L1 in every run. This consistency is more informative for R1 than relying on a single seed.</w:t>
      </w:r>
    </w:p>
    <w:p>
      <w:pPr>
        <w:pStyle w:val="Heading1"/>
      </w:pPr>
      <w:r>
        <w:t>8. Interpretation of L2</w:t>
      </w:r>
    </w:p>
    <w:p>
      <w:r>
        <w:t>L2 achieved strong performance under strict held-out class-specific phrase families. This is evidence that the classifier does not collapse when tested on phrase families excluded from training. It weakens the hypothesis that the reported performance is explained solely by memorization of the known phrase inventory.</w:t>
      </w:r>
    </w:p>
    <w:p>
      <w:r>
        <w:rPr>
          <w:b/>
        </w:rPr>
        <w:t xml:space="preserve">Important restriction: </w:t>
      </w:r>
      <w:r>
        <w:t>L2 must not be presented as an accuracy improvement over L1. Generic examples were excluded from L2, so L1 and L2 have different evaluation populations and test-set sizes. The correct interpretation is robustness to held-out phrase families, not superiority over the original condition.</w:t>
      </w:r>
    </w:p>
    <w:p>
      <w:pPr>
        <w:pStyle w:val="Heading1"/>
      </w:pPr>
      <w:r>
        <w:t>9. Interpretation of L3 and L4</w:t>
      </w:r>
    </w:p>
    <w:p>
      <w:r>
        <w:t>L3 and L4 both produced mean macro-F1 of 0.8920. Their equality was not an accidental numerical coincidence: feature audits established exact equivalence of the frozen downstream representations for all five corpora once lexical cues were removed. Therefore, L3 and L4 are distinct text-level interventions that collapse to the same model-level representation.</w:t>
      </w:r>
    </w:p>
    <w:p>
      <w:r>
        <w:t>This should be reported as an architectural/representation finding. L3 and L4 must not be counted as two independent confirmations of the same performance result.</w:t>
      </w:r>
    </w:p>
    <w:p>
      <w:pPr>
        <w:pStyle w:val="Heading1"/>
      </w:pPr>
      <w:r>
        <w:t>10. Ambiguous-Intent Caveat</w:t>
      </w:r>
    </w:p>
    <w:p>
      <w:r>
        <w:t>The synthetic ground-truth slice label is assigned before KPI blending. Some samples marked as ambiguous can therefore contain KPI evidence that conflicts with the original latent class. Consequently, disagreement under KPI-only evaluation—especially for ambiguous samples—should not automatically be interpreted as an ordinary classifier failure. The R1 findings should remain focused on phrase generalization and lexical contribution rather than over-claiming KPI-only error.</w:t>
      </w:r>
    </w:p>
    <w:p>
      <w:pPr>
        <w:pStyle w:val="Heading1"/>
      </w:pPr>
      <w:r>
        <w:t>11. Reproducibility and Historical Baseline Note</w:t>
      </w:r>
    </w:p>
    <w:p>
      <w:r>
        <w:t>During R1 preparation, the current packaged source reproduced its own seed-42 baseline exactly, but this value differed slightly from an older archived E1 result. Direct execution of the untouched current source matched the new R1 reproduction, establishing that the packaged source is internally reproducible. The archived result was therefore treated as historical evidence from a different execution/source/environment state and was not forced into the new R1 results.</w:t>
      </w:r>
    </w:p>
    <w:p>
      <w:r>
        <w:t>The current frozen source snapshot is the authoritative implementation for R1, and the discrepancy was documented transparently rather than hidden or corrected artificially.</w:t>
      </w:r>
    </w:p>
    <w:p>
      <w:pPr>
        <w:pStyle w:val="Heading1"/>
      </w:pPr>
      <w:r>
        <w:t>12. Reviewer-Facing Conclusion</w:t>
      </w:r>
    </w:p>
    <w:p>
      <w:r>
        <w:rPr>
          <w:b/>
        </w:rPr>
        <w:t xml:space="preserve">Primary conclusion. </w:t>
      </w:r>
      <w:r>
        <w:t>R1 provides evidence against the concern that classification performance is explained solely by memorization of class-specific intent phrases. Performance remains strong under a strict phrase-family-held-out stress test, while removal of lexical/use-case cues causes a consistent approximately 3.92 percentage-point macro-F1 reduction.</w:t>
      </w:r>
    </w:p>
    <w:p>
      <w:r>
        <w:t>The appropriate interpretation is therefore that lexical cues contribute useful predictive information, but the frozen classifier also uses non-lexical/KPI-derived information and retains substantial classification capability when lexical cues are removed.</w:t>
      </w:r>
    </w:p>
    <w:p>
      <w:pPr>
        <w:pStyle w:val="Heading1"/>
      </w:pPr>
      <w:r>
        <w:t>13. Claims That Are Supported</w:t>
      </w:r>
    </w:p>
    <w:p>
      <w:pPr>
        <w:pStyle w:val="ListBullet"/>
      </w:pPr>
      <w:r>
        <w:t>The evaluated classifier does not exhibit performance collapse on the strict held-out phrase families used in R1.</w:t>
      </w:r>
    </w:p>
    <w:p>
      <w:pPr>
        <w:pStyle w:val="ListBullet"/>
      </w:pPr>
      <w:r>
        <w:t>Lexical/use-case cues contribute measurably to classification performance.</w:t>
      </w:r>
    </w:p>
    <w:p>
      <w:pPr>
        <w:pStyle w:val="ListBullet"/>
      </w:pPr>
      <w:r>
        <w:t>Removing lexical cues produces a consistent performance reduction across seeds 42–46.</w:t>
      </w:r>
    </w:p>
    <w:p>
      <w:pPr>
        <w:pStyle w:val="ListBullet"/>
      </w:pPr>
      <w:r>
        <w:t>The classifier retains substantial performance after lexical ablation.</w:t>
      </w:r>
    </w:p>
    <w:p>
      <w:pPr>
        <w:pStyle w:val="ListBullet"/>
      </w:pPr>
      <w:r>
        <w:t>L3 and L4 collapse to the same frozen feature representation, revealing a representation-level limitation.</w:t>
      </w:r>
    </w:p>
    <w:p>
      <w:pPr>
        <w:pStyle w:val="Heading1"/>
      </w:pPr>
      <w:r>
        <w:t>14. Claims to Avoid</w:t>
      </w:r>
    </w:p>
    <w:p>
      <w:pPr>
        <w:pStyle w:val="ListBullet"/>
      </w:pPr>
      <w:r>
        <w:t>Do not claim that L2 is statistically or operationally better than L1; their evaluation populations differ.</w:t>
      </w:r>
    </w:p>
    <w:p>
      <w:pPr>
        <w:pStyle w:val="ListBullet"/>
      </w:pPr>
      <w:r>
        <w:t>Do not claim that lexical information is unimportant; the ablation shows a consistent performance contribution.</w:t>
      </w:r>
    </w:p>
    <w:p>
      <w:pPr>
        <w:pStyle w:val="ListBullet"/>
      </w:pPr>
      <w:r>
        <w:t>Do not present L3 and L4 as independent model-level experiments after their feature equivalence was established.</w:t>
      </w:r>
    </w:p>
    <w:p>
      <w:pPr>
        <w:pStyle w:val="ListBullet"/>
      </w:pPr>
      <w:r>
        <w:t>Do not generalize R1 beyond the evaluated synthetic corpus, phrase families, frozen parser, feature representation, model candidates, and seeds.</w:t>
      </w:r>
    </w:p>
    <w:p>
      <w:pPr>
        <w:pStyle w:val="ListBullet"/>
      </w:pPr>
      <w:r>
        <w:t>Do not silently replace the current-source R1 baseline with the older archived E1 metric.</w:t>
      </w:r>
    </w:p>
    <w:p>
      <w:pPr>
        <w:pStyle w:val="Heading1"/>
      </w:pPr>
      <w:r>
        <w:t>15. Frozen R1 Evidence and Artifacts</w:t>
      </w:r>
    </w:p>
    <w:p>
      <w:r>
        <w:t>The final R1 evidence package contains the condition datasets, phrase-family split definitions, per-seed outputs, aggregate results, audits, manifests, frozen references, publication-ready table, final findings, closure record, complete artifact inventory, and SHA-256 checksums.</w:t>
      </w:r>
    </w:p>
    <w:tbl>
      <w:tblPr>
        <w:tblStyle w:val="TableGrid"/>
        <w:tblW w:type="auto" w:w="0"/>
        <w:tblLook w:firstColumn="1" w:firstRow="1" w:lastColumn="0" w:lastRow="0" w:noHBand="0" w:noVBand="1" w:val="04A0"/>
      </w:tblPr>
      <w:tblGrid>
        <w:gridCol w:w="4968"/>
        <w:gridCol w:w="4968"/>
      </w:tblGrid>
      <w:tr>
        <w:tc>
          <w:tcPr>
            <w:tcW w:type="dxa" w:w="4968"/>
          </w:tcPr>
          <w:p>
            <w:r>
              <w:t>Artifact</w:t>
            </w:r>
          </w:p>
        </w:tc>
        <w:tc>
          <w:tcPr>
            <w:tcW w:type="dxa" w:w="4968"/>
          </w:tcPr>
          <w:p>
            <w:r>
              <w:t>Purpose</w:t>
            </w:r>
          </w:p>
        </w:tc>
      </w:tr>
      <w:tr>
        <w:tc>
          <w:tcPr>
            <w:tcW w:type="dxa" w:w="4968"/>
          </w:tcPr>
          <w:p>
            <w:r>
              <w:t>results/aggregate/r1_all_20_runs.csv</w:t>
            </w:r>
          </w:p>
        </w:tc>
        <w:tc>
          <w:tcPr>
            <w:tcW w:type="dxa" w:w="4968"/>
          </w:tcPr>
          <w:p>
            <w:r>
              <w:t>All 20 seed × condition result records.</w:t>
            </w:r>
          </w:p>
        </w:tc>
      </w:tr>
      <w:tr>
        <w:tc>
          <w:tcPr>
            <w:tcW w:type="dxa" w:w="4968"/>
          </w:tcPr>
          <w:p>
            <w:r>
              <w:t>results/aggregate/r1_five_seed_summary.csv</w:t>
            </w:r>
          </w:p>
        </w:tc>
        <w:tc>
          <w:tcPr>
            <w:tcW w:type="dxa" w:w="4968"/>
          </w:tcPr>
          <w:p>
            <w:r>
              <w:t>Final mean and standard deviation by condition.</w:t>
            </w:r>
          </w:p>
        </w:tc>
      </w:tr>
      <w:tr>
        <w:tc>
          <w:tcPr>
            <w:tcW w:type="dxa" w:w="4968"/>
          </w:tcPr>
          <w:p>
            <w:r>
              <w:t>results/aggregate/r1_model_selection_counts.csv</w:t>
            </w:r>
          </w:p>
        </w:tc>
        <w:tc>
          <w:tcPr>
            <w:tcW w:type="dxa" w:w="4968"/>
          </w:tcPr>
          <w:p>
            <w:r>
              <w:t>Selected-model frequencies across seeds.</w:t>
            </w:r>
          </w:p>
        </w:tc>
      </w:tr>
      <w:tr>
        <w:tc>
          <w:tcPr>
            <w:tcW w:type="dxa" w:w="4968"/>
          </w:tcPr>
          <w:p>
            <w:r>
              <w:t>results/aggregate/r1_L1_vs_L3L4_paired.csv</w:t>
            </w:r>
          </w:p>
        </w:tc>
        <w:tc>
          <w:tcPr>
            <w:tcW w:type="dxa" w:w="4968"/>
          </w:tcPr>
          <w:p>
            <w:r>
              <w:t>Per-seed lexical-ablation comparison.</w:t>
            </w:r>
          </w:p>
        </w:tc>
      </w:tr>
      <w:tr>
        <w:tc>
          <w:tcPr>
            <w:tcW w:type="dxa" w:w="4968"/>
          </w:tcPr>
          <w:p>
            <w:r>
              <w:t>results/aggregate/r1_L1_vs_L3L4_summary.csv</w:t>
            </w:r>
          </w:p>
        </w:tc>
        <w:tc>
          <w:tcPr>
            <w:tcW w:type="dxa" w:w="4968"/>
          </w:tcPr>
          <w:p>
            <w:r>
              <w:t>Mean lexical-ablation effect.</w:t>
            </w:r>
          </w:p>
        </w:tc>
      </w:tr>
      <w:tr>
        <w:tc>
          <w:tcPr>
            <w:tcW w:type="dxa" w:w="4968"/>
          </w:tcPr>
          <w:p>
            <w:r>
              <w:t>results/aggregate/r1_L2_descriptive_comparison.csv</w:t>
            </w:r>
          </w:p>
        </w:tc>
        <w:tc>
          <w:tcPr>
            <w:tcW w:type="dxa" w:w="4968"/>
          </w:tcPr>
          <w:p>
            <w:r>
              <w:t>Descriptive L2 vs L1 values with non-equivalent populations.</w:t>
            </w:r>
          </w:p>
        </w:tc>
      </w:tr>
      <w:tr>
        <w:tc>
          <w:tcPr>
            <w:tcW w:type="dxa" w:w="4968"/>
          </w:tcPr>
          <w:p>
            <w:r>
              <w:t>results/aggregate/r1_L3_L4_equivalence.csv</w:t>
            </w:r>
          </w:p>
        </w:tc>
        <w:tc>
          <w:tcPr>
            <w:tcW w:type="dxa" w:w="4968"/>
          </w:tcPr>
          <w:p>
            <w:r>
              <w:t>Five-seed equivalence gate for L3/L4.</w:t>
            </w:r>
          </w:p>
        </w:tc>
      </w:tr>
      <w:tr>
        <w:tc>
          <w:tcPr>
            <w:tcW w:type="dxa" w:w="4968"/>
          </w:tcPr>
          <w:p>
            <w:r>
              <w:t>final_evidence/R1_publication_table.csv</w:t>
            </w:r>
          </w:p>
        </w:tc>
        <w:tc>
          <w:tcPr>
            <w:tcW w:type="dxa" w:w="4968"/>
          </w:tcPr>
          <w:p>
            <w:r>
              <w:t>Publication-ready summary table.</w:t>
            </w:r>
          </w:p>
        </w:tc>
      </w:tr>
      <w:tr>
        <w:tc>
          <w:tcPr>
            <w:tcW w:type="dxa" w:w="4968"/>
          </w:tcPr>
          <w:p>
            <w:r>
              <w:t>final_evidence/R1_final_findings.txt</w:t>
            </w:r>
          </w:p>
        </w:tc>
        <w:tc>
          <w:tcPr>
            <w:tcW w:type="dxa" w:w="4968"/>
          </w:tcPr>
          <w:p>
            <w:r>
              <w:t>Reviewer-safe interpretation and conclusions.</w:t>
            </w:r>
          </w:p>
        </w:tc>
      </w:tr>
      <w:tr>
        <w:tc>
          <w:tcPr>
            <w:tcW w:type="dxa" w:w="4968"/>
          </w:tcPr>
          <w:p>
            <w:r>
              <w:t>final_evidence/R1_closure.json</w:t>
            </w:r>
          </w:p>
        </w:tc>
        <w:tc>
          <w:tcPr>
            <w:tcW w:type="dxa" w:w="4968"/>
          </w:tcPr>
          <w:p>
            <w:r>
              <w:t>Machine-readable R1 closure record.</w:t>
            </w:r>
          </w:p>
        </w:tc>
      </w:tr>
      <w:tr>
        <w:tc>
          <w:tcPr>
            <w:tcW w:type="dxa" w:w="4968"/>
          </w:tcPr>
          <w:p>
            <w:r>
              <w:t>final_evidence/R1_SHA256_MANIFEST.csv</w:t>
            </w:r>
          </w:p>
        </w:tc>
        <w:tc>
          <w:tcPr>
            <w:tcW w:type="dxa" w:w="4968"/>
          </w:tcPr>
          <w:p>
            <w:r>
              <w:t>Checksums for final evidence.</w:t>
            </w:r>
          </w:p>
        </w:tc>
      </w:tr>
      <w:tr>
        <w:tc>
          <w:tcPr>
            <w:tcW w:type="dxa" w:w="4968"/>
          </w:tcPr>
          <w:p>
            <w:r>
              <w:t>R1_HANDOFF_README.md</w:t>
            </w:r>
          </w:p>
        </w:tc>
        <w:tc>
          <w:tcPr>
            <w:tcW w:type="dxa" w:w="4968"/>
          </w:tcPr>
          <w:p>
            <w:r>
              <w:t>Human-readable handoff for subsequent work/new chats.</w:t>
            </w:r>
          </w:p>
        </w:tc>
      </w:tr>
      <w:tr>
        <w:tc>
          <w:tcPr>
            <w:tcW w:type="dxa" w:w="4968"/>
          </w:tcPr>
          <w:p>
            <w:r>
              <w:t>R1_COMPLETE_ARTIFACT_INVENTORY.csv</w:t>
            </w:r>
          </w:p>
        </w:tc>
        <w:tc>
          <w:tcPr>
            <w:tcW w:type="dxa" w:w="4968"/>
          </w:tcPr>
          <w:p>
            <w:r>
              <w:t>Complete R1 artifact inventory.</w:t>
            </w:r>
          </w:p>
        </w:tc>
      </w:tr>
    </w:tbl>
    <w:p>
      <w:pPr>
        <w:pStyle w:val="Heading1"/>
      </w:pPr>
      <w:r>
        <w:t>16. Final Status</w:t>
      </w:r>
    </w:p>
    <w:p>
      <w:pPr>
        <w:jc w:val="center"/>
      </w:pPr>
      <w:r>
        <w:rPr>
          <w:b/>
          <w:sz w:val="28"/>
        </w:rPr>
        <w:t>R1 STATUS: PASS — CLOSED AND FROZEN</w:t>
      </w:r>
    </w:p>
    <w:p>
      <w:r>
        <w:t>No further R1 reruns or modifications are required for the current reviewer-response workflow. Subsequent experiments should be created in separate directories so that the frozen R1 evidence remains unchanged.</w:t>
      </w:r>
    </w:p>
    <w:p>
      <w:pPr>
        <w:pStyle w:val="Heading1"/>
      </w:pPr>
      <w:r>
        <w:t>17. Next Planned Reviewer Experiment</w:t>
      </w:r>
    </w:p>
    <w:p>
      <w:r>
        <w:t>R2 — Strict Feasibility / Validity Audit. R2 will evaluate whether the current feasibility/validity mechanism is too permissive, construct stricter network-slicing constraint checks, and quantify false-feasible decisions. R2 must be conducted separately and must not modify the frozen R1 evidence.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R1 — Phrase Generalization and Lexical Ablation | Final Frozen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XAgentic-Slicing | R1 Experiment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