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R2 — Strict Feasibility Audit</w:t>
      </w:r>
    </w:p>
    <w:p>
      <w:pPr>
        <w:pStyle w:val="Subtitle"/>
      </w:pPr>
      <w:r>
        <w:t>Two-page research summary | XAgentic network slicing | Final frozen R2 evidence, 7 October 2026</w:t>
      </w:r>
    </w:p>
    <w:p>
      <w:pPr>
        <w:pStyle w:val="Heading1"/>
      </w:pPr>
      <w:r>
        <w:t>1. Central R2 research question</w:t>
      </w:r>
    </w:p>
    <w:p>
      <w:r>
        <w:t>Does the original XAgentic network-slicing feasibility contract incorrectly accept slice candidates that violate represented KPI requirements, and how often do such errors lead to unsafe selected decisions?</w:t>
      </w:r>
    </w:p>
    <w:p>
      <w:r>
        <w:t>R2 specifically asks whether all five represented dimensions (latency, throughput, reliability, density and mobility) are enforced; whether an empty feasible set is preserved; and whether legacy contract validity agrees with an independent, stricter operational feasibility assessment.</w:t>
      </w:r>
    </w:p>
    <w:p>
      <w:pPr>
        <w:pStyle w:val="Heading1"/>
      </w:pPr>
      <w:r>
        <w:t>2. Steps performed</w:t>
      </w:r>
    </w:p>
    <w:p>
      <w:r>
        <w:t>1) Froze the original E1–E5 source, 1,200-intent corpus and 100 E5 decisions, recording SHA-256 provenance. 2) Inspected the legacy catalogue and feasibility code: mobility was omitted; latency, throughput and density used relaxed screening; and an empty result fell back to all catalogue slices. 3) Built an independent strict oracle and corrected the provisional V1 latency-direction error. V2 evaluates a maximum-latency SLA against the slice minimum supported latency, while throughput, reliability, density and mobility requirements are compared with supported maxima. Missing slots remain unconstrained; an empty set stays empty.</w:t>
      </w:r>
    </w:p>
    <w:p>
      <w:r>
        <w:t>4) Passed 16/16 controlled V2 cases. 5) Reconstructed actual parsed KPI slots from frozen intent text using the frozen parser, rather than substituting generated truth values. 6) Audited all 1,200 requests for candidate-set differences and KPI attribution. 7) Matched all 100 frozen E5 decisions to corpus records by unique exact intent text; independently checked selected-prediction feasibility and ACCEPT/ESCALATE outcomes. 8) Generated publication tables, archived V1 as superseded, passed 35/35 integrity checks and froze the final evidence ZIP.</w:t>
      </w:r>
    </w:p>
    <w:p>
      <w:pPr>
        <w:pStyle w:val="Heading1"/>
      </w:pPr>
      <w:r>
        <w:t>3. Training/test data and final inference</w:t>
      </w:r>
    </w:p>
    <w:p>
      <w:r>
        <w:t>R2 did not train or retrain a model and did not create a new train/test split. It is a deterministic, post-hoc safety audit of existing frozen experiments. Request-level test material: 1,200 frozen synthetic network-slicing intents (400 each for eMBB, URLLC and mMTC). The corpus includes natural-language intents, use-case labels, and generated KPI truth fields; audit inputs are the KPI values recovered by the original parser. The parser does not recover every generated truth field (for example, density is parsed for 674 of 1,200 requests).</w:t>
      </w:r>
    </w:p>
    <w:p>
      <w:r>
        <w:t>Decision-level test material: 100 previously generated E5 decisions, with predictions, truth labels and ACCEPT/ESCALATE verdicts. Exact-text matching linked 100/100 decisions to frozen corpus rows and reproduced 100/100 legacy-valid predictions. The final inference is that the legacy contract over-accepts candidates and can certify autonomous decisions that fail strict KPI feasibility. Classification correctness alone is not a sufficient safety criterion.</w:t>
      </w:r>
    </w:p>
    <w:p>
      <w:pPr>
        <w:pStyle w:val="Heading1"/>
      </w:pPr>
      <w:r>
        <w:t>4. Evidence supporting the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Audited measure</w:t>
            </w:r>
          </w:p>
        </w:tc>
        <w:tc>
          <w:tcPr>
            <w:tcW w:type="dxa" w:w="4997"/>
          </w:tcPr>
          <w:p>
            <w:r>
              <w:t>Verified result</w:t>
            </w:r>
          </w:p>
        </w:tc>
      </w:tr>
      <w:tr>
        <w:tc>
          <w:tcPr>
            <w:tcW w:type="dxa" w:w="4997"/>
          </w:tcPr>
          <w:p>
            <w:r>
              <w:t>Request-level candidate-set disagreement</w:t>
            </w:r>
          </w:p>
        </w:tc>
        <w:tc>
          <w:tcPr>
            <w:tcW w:type="dxa" w:w="4997"/>
          </w:tcPr>
          <w:p>
            <w:r>
              <w:t>229 / 1,200 (19.08%); all legacy over-acceptance</w:t>
            </w:r>
          </w:p>
        </w:tc>
      </w:tr>
      <w:tr>
        <w:tc>
          <w:tcPr>
            <w:tcW w:type="dxa" w:w="4997"/>
          </w:tcPr>
          <w:p>
            <w:r>
              <w:t>Strict-empty requests despite legacy nonempty</w:t>
            </w:r>
          </w:p>
        </w:tc>
        <w:tc>
          <w:tcPr>
            <w:tcW w:type="dxa" w:w="4997"/>
          </w:tcPr>
          <w:p>
            <w:r>
              <w:t>14 / 1,200 (1.17%)</w:t>
            </w:r>
          </w:p>
        </w:tc>
      </w:tr>
      <w:tr>
        <w:tc>
          <w:tcPr>
            <w:tcW w:type="dxa" w:w="4997"/>
          </w:tcPr>
          <w:p>
            <w:r>
              <w:t>KPI contributors (overlap possible)</w:t>
            </w:r>
          </w:p>
        </w:tc>
        <w:tc>
          <w:tcPr>
            <w:tcW w:type="dxa" w:w="4997"/>
          </w:tcPr>
          <w:p>
            <w:r>
              <w:t>Density 103; latency 63; mobility 61; throughput 37; reliability 0</w:t>
            </w:r>
          </w:p>
        </w:tc>
      </w:tr>
      <w:tr>
        <w:tc>
          <w:tcPr>
            <w:tcW w:type="dxa" w:w="4997"/>
          </w:tcPr>
          <w:p>
            <w:r>
              <w:t>Mobility-only disagreements</w:t>
            </w:r>
          </w:p>
        </w:tc>
        <w:tc>
          <w:tcPr>
            <w:tcW w:type="dxa" w:w="4997"/>
          </w:tcPr>
          <w:p>
            <w:r>
              <w:t>37 / 1,200 (3.08%)</w:t>
            </w:r>
          </w:p>
        </w:tc>
      </w:tr>
      <w:tr>
        <w:tc>
          <w:tcPr>
            <w:tcW w:type="dxa" w:w="4997"/>
          </w:tcPr>
          <w:p>
            <w:r>
              <w:t>E5 legacy-valid vs strict-valid</w:t>
            </w:r>
          </w:p>
        </w:tc>
        <w:tc>
          <w:tcPr>
            <w:tcW w:type="dxa" w:w="4997"/>
          </w:tcPr>
          <w:p>
            <w:r>
              <w:t>100 / 100 vs 97 / 100</w:t>
            </w:r>
          </w:p>
        </w:tc>
      </w:tr>
      <w:tr>
        <w:tc>
          <w:tcPr>
            <w:tcW w:type="dxa" w:w="4997"/>
          </w:tcPr>
          <w:p>
            <w:r>
              <w:t>E5 false-feasible selected decisions</w:t>
            </w:r>
          </w:p>
        </w:tc>
        <w:tc>
          <w:tcPr>
            <w:tcW w:type="dxa" w:w="4997"/>
          </w:tcPr>
          <w:p>
            <w:r>
              <w:t>3 / 100 (3%); all strict-empty requests</w:t>
            </w:r>
          </w:p>
        </w:tc>
      </w:tr>
      <w:tr>
        <w:tc>
          <w:tcPr>
            <w:tcW w:type="dxa" w:w="4997"/>
          </w:tcPr>
          <w:p>
            <w:r>
              <w:t>False-feasible verdicts</w:t>
            </w:r>
          </w:p>
        </w:tc>
        <w:tc>
          <w:tcPr>
            <w:tcW w:type="dxa" w:w="4997"/>
          </w:tcPr>
          <w:p>
            <w:r>
              <w:t>2 ACCEPT; 1 ESCALATE</w:t>
            </w:r>
          </w:p>
        </w:tc>
      </w:tr>
      <w:tr>
        <w:tc>
          <w:tcPr>
            <w:tcW w:type="dxa" w:w="4997"/>
          </w:tcPr>
          <w:p>
            <w:r>
              <w:t>Classification-correct but infeasible</w:t>
            </w:r>
          </w:p>
        </w:tc>
        <w:tc>
          <w:tcPr>
            <w:tcW w:type="dxa" w:w="4997"/>
          </w:tcPr>
          <w:p>
            <w:r>
              <w:t>2 of the 3 false-feasible decisions</w:t>
            </w:r>
          </w:p>
        </w:tc>
      </w:tr>
      <w:tr>
        <w:tc>
          <w:tcPr>
            <w:tcW w:type="dxa" w:w="4997"/>
          </w:tcPr>
          <w:p>
            <w:r>
              <w:t>Controlled tests / final integrity</w:t>
            </w:r>
          </w:p>
        </w:tc>
        <w:tc>
          <w:tcPr>
            <w:tcW w:type="dxa" w:w="4997"/>
          </w:tcPr>
          <w:p>
            <w:r>
              <w:t>16/16 PASS; 35/35 PASS</w:t>
            </w:r>
          </w:p>
        </w:tc>
      </w:tr>
    </w:tbl>
    <w:p>
      <w:pPr>
        <w:pStyle w:val="Heading1"/>
      </w:pPr>
      <w:r>
        <w:t>5. Unknowns uncovered, interpretation and future directions</w:t>
      </w:r>
    </w:p>
    <w:p>
      <w:r>
        <w:t>Unknown 1 — Coverage gap: although mobility is represented in the catalogue and generated intents, the original contract never checks it. Mobility contributed to 61 candidate-set disagreements (37 attributable to mobility alone). Unknown 2 — Fallback defect: 14 requests had no feasible catalogue slice under V2, yet legacy logic returned candidates for every one. Unknown 3 — Decision safety: among 100 E5 predictions, three were legacy-valid but strictly infeasible; two were autonomously ACCEPTed. Two of the three predictions matched the dataset label, showing why accuracy/F1 cannot substitute for a feasibility guarantee.</w:t>
      </w:r>
    </w:p>
    <w:p>
      <w:r>
        <w:t>Future work: R3 should enforce Strict V2 feasibility through candidate masking before final slice selection, and explicitly escalate/reject requests with empty feasible sets. Compare masked and unmasked systems on safety, classification performance, coverage/escalation and latency; assess multiple seeds where row-level predictions are available or can be reproducibly regenerated. Extend validation beyond synthetic catalogue envelopes to operator policies, realistic telemetry and service-level constraints. Do not retroactively label original E1–E5 metrics as strict-valid: R2 is a separate re-analysis. The full E1–E4 multi-seed outputs lack saved row-level predictions, so strict prediction-level rates for those runs cannot be claimed without rerunning them.</w:t>
      </w:r>
    </w:p>
    <w:p>
      <w:r>
        <w:rPr>
          <w:b/>
        </w:rPr>
        <w:t xml:space="preserve">Frozen evidence: </w:t>
      </w:r>
      <w:r>
        <w:t>XAgentic_R2_Strict_Feasibility_FINAL_2026-10-07.zip | 118 members | SHA-256: 4abb7258200f6b599354fb9133a5199376c3fb69ff8d657bca72e6e883f9971c</w:t>
      </w:r>
    </w:p>
    <w:sectPr w:rsidR="00FC693F" w:rsidRPr="0006063C" w:rsidSect="00034616"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80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