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R2 - Strict Feasibility and Validity Audit</w:t>
      </w:r>
    </w:p>
    <w:p>
      <w:pPr>
        <w:jc w:val="center"/>
      </w:pPr>
      <w:r>
        <w:rPr>
          <w:b/>
          <w:sz w:val="22"/>
        </w:rPr>
        <w:t>Summary of methodology, results, safety findings, and frozen evidence</w:t>
      </w:r>
    </w:p>
    <w:p>
      <w:pPr>
        <w:jc w:val="center"/>
      </w:pPr>
      <w:r>
        <w:t>XAgentic Network Slicing Experiments | Final / Frozen | 07 October 2026</w:t>
      </w:r>
    </w:p>
    <w:p>
      <w:pPr>
        <w:pStyle w:val="Heading1"/>
      </w:pPr>
      <w:r>
        <w:t>1. Executive Summary</w:t>
      </w:r>
    </w:p>
    <w:p>
      <w:r>
        <w:t>R2 evaluated whether the original feasibility/contract-validity logic used in the frozen XAgentic E1-E5 experiments could accept network-slice candidates that violate the KPI requirements represented in an intent. R2 was performed as an independent post-hoc re-analysis: the original source, corpus, predictions, and experimental results were kept frozen.</w:t>
      </w:r>
    </w:p>
    <w:p>
      <w:r>
        <w:t>The authoritative Strict V2 oracle evaluates all five represented KPI dimensions - latency, throughput, reliability, device density, and mobility - and preserves an empty feasible set when no catalogue slice satisfies the complete request. Across 1,200 frozen intents, legacy and strict candidate sets disagreed in 229 cases (19.08%), all due to legacy over-acceptance. Fourteen requests (1.17%) had no strictly feasible slice, although the legacy implementation returned a non-empty set in every case.</w:t>
      </w:r>
    </w:p>
    <w:p>
      <w:r>
        <w:t>At the actual E5 decision level, all 100 frozen predictions reproduced the original 100% legacy contract-validity result. Under Strict V2, 97 remained feasible and three (3%) became false-feasible. One of these had already been escalated, while two (2% of all E5 decisions) were autonomously ACCEPTed despite being strictly infeasible.</w:t>
      </w:r>
    </w:p>
    <w:p>
      <w:pPr>
        <w:pStyle w:val="Heading1"/>
      </w:pPr>
      <w:r>
        <w:t>2. Objective of R2</w:t>
      </w:r>
    </w:p>
    <w:p>
      <w:pPr>
        <w:pStyle w:val="ListBullet"/>
      </w:pPr>
      <w:r>
        <w:t>Audit every KPI represented in the experiment, including mobility.</w:t>
      </w:r>
    </w:p>
    <w:p>
      <w:pPr>
        <w:pStyle w:val="ListBullet"/>
      </w:pPr>
      <w:r>
        <w:t>Quantify the effect of the legacy empty-feasible-set fallback.</w:t>
      </w:r>
    </w:p>
    <w:p>
      <w:pPr>
        <w:pStyle w:val="ListBullet"/>
      </w:pPr>
      <w:r>
        <w:t>Separate legacy contract validity from stricter operational feasibility.</w:t>
      </w:r>
    </w:p>
    <w:p>
      <w:pPr>
        <w:pStyle w:val="ListBullet"/>
      </w:pPr>
      <w:r>
        <w:t>Identify and quantify false-feasible selected decisions using frozen E5 evidence.</w:t>
      </w:r>
    </w:p>
    <w:p>
      <w:pPr>
        <w:pStyle w:val="ListBullet"/>
      </w:pPr>
      <w:r>
        <w:t>Preserve the original E1-E5 results and report R2 as a separate safety-oriented re-analysis.</w:t>
      </w:r>
    </w:p>
    <w:p>
      <w:pPr>
        <w:pStyle w:val="Heading1"/>
      </w:pPr>
      <w:r>
        <w:t>3. Legacy Feasibility Limitation</w:t>
      </w:r>
    </w:p>
    <w:p>
      <w:r>
        <w:t>The frozen legacy feasibility function checked latency, throughput, reliability, and density, but did not evaluate mobility. Its checks were also permissive/asymmetric. Most importantly, if every catalogue slice was rejected, the function returned the complete catalogue instead of preserving an empty feasible set. Consequently, an impossible request could still be classified as contract-valid.</w:t>
      </w:r>
    </w:p>
    <w:p>
      <w:r>
        <w:t>The frozen catalogue contains eMBB, URLLC, and mMTC capability envelopes for latency, throughput, reliability, density, and mobility. R2 therefore treats mobility as a genuine represented feasibility dimension rather than an optional post-hoc variable.</w:t>
      </w:r>
    </w:p>
    <w:p>
      <w:pPr>
        <w:pStyle w:val="Heading1"/>
      </w:pPr>
      <w:r>
        <w:t>4. Strict Feasibility Oracle V2</w:t>
      </w:r>
    </w:p>
    <w:p>
      <w:r>
        <w:t>The first provisional strict oracle (V1) was superseded after identifying an incorrect directional interpretation of latency. V1 is retained only for provenance. Strict V2 is the authoritative oracle.</w:t>
      </w:r>
    </w:p>
    <w:tbl>
      <w:tblPr>
        <w:tblStyle w:val="TableGrid"/>
        <w:tblW w:type="auto" w:w="0"/>
        <w:jc w:val="center"/>
        <w:tblLook w:firstColumn="1" w:firstRow="1" w:lastColumn="0" w:lastRow="0" w:noHBand="0" w:noVBand="1" w:val="04A0"/>
      </w:tblPr>
      <w:tblGrid>
        <w:gridCol w:w="4968"/>
        <w:gridCol w:w="4968"/>
      </w:tblGrid>
      <w:tr>
        <w:tc>
          <w:tcPr>
            <w:tcW w:type="dxa" w:w="4968"/>
          </w:tcPr>
          <w:p>
            <w:r>
              <w:t>Dimension / Rule</w:t>
            </w:r>
          </w:p>
        </w:tc>
        <w:tc>
          <w:tcPr>
            <w:tcW w:type="dxa" w:w="4968"/>
          </w:tcPr>
          <w:p>
            <w:r>
              <w:t>Strict V2 interpretation</w:t>
            </w:r>
          </w:p>
        </w:tc>
      </w:tr>
      <w:tr>
        <w:tc>
          <w:tcPr>
            <w:tcW w:type="dxa" w:w="4968"/>
          </w:tcPr>
          <w:p>
            <w:r>
              <w:t>Latency</w:t>
            </w:r>
          </w:p>
        </w:tc>
        <w:tc>
          <w:tcPr>
            <w:tcW w:type="dxa" w:w="4968"/>
          </w:tcPr>
          <w:p>
            <w:r>
              <w:t>Upper-bound SLA: catalogue minimum supported latency &lt;= requested maximum latency.</w:t>
            </w:r>
          </w:p>
        </w:tc>
      </w:tr>
      <w:tr>
        <w:tc>
          <w:tcPr>
            <w:tcW w:type="dxa" w:w="4968"/>
          </w:tcPr>
          <w:p>
            <w:r>
              <w:t>Throughput</w:t>
            </w:r>
          </w:p>
        </w:tc>
        <w:tc>
          <w:tcPr>
            <w:tcW w:type="dxa" w:w="4968"/>
          </w:tcPr>
          <w:p>
            <w:r>
              <w:t>Requested minimum throughput &lt;= catalogue maximum throughput.</w:t>
            </w:r>
          </w:p>
        </w:tc>
      </w:tr>
      <w:tr>
        <w:tc>
          <w:tcPr>
            <w:tcW w:type="dxa" w:w="4968"/>
          </w:tcPr>
          <w:p>
            <w:r>
              <w:t>Reliability</w:t>
            </w:r>
          </w:p>
        </w:tc>
        <w:tc>
          <w:tcPr>
            <w:tcW w:type="dxa" w:w="4968"/>
          </w:tcPr>
          <w:p>
            <w:r>
              <w:t>Requested reliability &lt;= catalogue maximum reliability.</w:t>
            </w:r>
          </w:p>
        </w:tc>
      </w:tr>
      <w:tr>
        <w:tc>
          <w:tcPr>
            <w:tcW w:type="dxa" w:w="4968"/>
          </w:tcPr>
          <w:p>
            <w:r>
              <w:t>Density</w:t>
            </w:r>
          </w:p>
        </w:tc>
        <w:tc>
          <w:tcPr>
            <w:tcW w:type="dxa" w:w="4968"/>
          </w:tcPr>
          <w:p>
            <w:r>
              <w:t>Requested device density &lt;= catalogue maximum supported density.</w:t>
            </w:r>
          </w:p>
        </w:tc>
      </w:tr>
      <w:tr>
        <w:tc>
          <w:tcPr>
            <w:tcW w:type="dxa" w:w="4968"/>
          </w:tcPr>
          <w:p>
            <w:r>
              <w:t>Mobility</w:t>
            </w:r>
          </w:p>
        </w:tc>
        <w:tc>
          <w:tcPr>
            <w:tcW w:type="dxa" w:w="4968"/>
          </w:tcPr>
          <w:p>
            <w:r>
              <w:t>Requested mobility &lt;= catalogue maximum supported mobility.</w:t>
            </w:r>
          </w:p>
        </w:tc>
      </w:tr>
      <w:tr>
        <w:tc>
          <w:tcPr>
            <w:tcW w:type="dxa" w:w="4968"/>
          </w:tcPr>
          <w:p>
            <w:r>
              <w:t>Missing KPI</w:t>
            </w:r>
          </w:p>
        </w:tc>
        <w:tc>
          <w:tcPr>
            <w:tcW w:type="dxa" w:w="4968"/>
          </w:tcPr>
          <w:p>
            <w:r>
              <w:t>Treated as unconstrained.</w:t>
            </w:r>
          </w:p>
        </w:tc>
      </w:tr>
      <w:tr>
        <w:tc>
          <w:tcPr>
            <w:tcW w:type="dxa" w:w="4968"/>
          </w:tcPr>
          <w:p>
            <w:r>
              <w:t>No feasible slice</w:t>
            </w:r>
          </w:p>
        </w:tc>
        <w:tc>
          <w:tcPr>
            <w:tcW w:type="dxa" w:w="4968"/>
          </w:tcPr>
          <w:p>
            <w:r>
              <w:t>The feasible set remains empty; no fallback to the full catalogue.</w:t>
            </w:r>
          </w:p>
        </w:tc>
      </w:tr>
    </w:tbl>
    <w:p>
      <w:pPr>
        <w:pStyle w:val="Heading1"/>
      </w:pPr>
      <w:r>
        <w:t>5. Validation and Evidence Reconstruction</w:t>
      </w:r>
    </w:p>
    <w:p>
      <w:r>
        <w:t>Strict V2 passed a controlled 16-case validation suite (16/16). The frozen 1,200-row corpus was not regenerated. Because the original package did not persist all five parsed KPI slots at row level, R2 deterministically reconstructed those slots using the frozen parser. Generated truth values were not substituted for parser outputs because the original runtime contract operated on parsed values.</w:t>
      </w:r>
    </w:p>
    <w:p>
      <w:r>
        <w:t>For E5, the 100 frozen decision rows were mapped back to the frozen corpus by exact intent text. The corpus contained 1,200 unique intent texts and the E5 file contained 100 unique intent texts; all 100 mapped exactly, with 100/100 truth-label matches and 100/100 use-case-category matches. No prediction was regenerated.</w:t>
      </w:r>
    </w:p>
    <w:p>
      <w:pPr>
        <w:pStyle w:val="Heading1"/>
      </w:pPr>
      <w:r>
        <w:t>6. Request-Level Results: 1,200 Frozen Intents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Measure</w:t>
            </w:r>
          </w:p>
        </w:tc>
        <w:tc>
          <w:tcPr>
            <w:tcW w:type="dxa" w:w="3312"/>
          </w:tcPr>
          <w:p>
            <w:r>
              <w:t>Count</w:t>
            </w:r>
          </w:p>
        </w:tc>
        <w:tc>
          <w:tcPr>
            <w:tcW w:type="dxa" w:w="3312"/>
          </w:tcPr>
          <w:p>
            <w:r>
              <w:t>Percent</w:t>
            </w:r>
          </w:p>
        </w:tc>
      </w:tr>
      <w:tr>
        <w:tc>
          <w:tcPr>
            <w:tcW w:type="dxa" w:w="3312"/>
          </w:tcPr>
          <w:p>
            <w:r>
              <w:t>Frozen intents audited</w:t>
            </w:r>
          </w:p>
        </w:tc>
        <w:tc>
          <w:tcPr>
            <w:tcW w:type="dxa" w:w="3312"/>
          </w:tcPr>
          <w:p>
            <w:r>
              <w:t>1,200</w:t>
            </w:r>
          </w:p>
        </w:tc>
        <w:tc>
          <w:tcPr>
            <w:tcW w:type="dxa" w:w="3312"/>
          </w:tcPr>
          <w:p>
            <w:r>
              <w:t>100.00%</w:t>
            </w:r>
          </w:p>
        </w:tc>
      </w:tr>
      <w:tr>
        <w:tc>
          <w:tcPr>
            <w:tcW w:type="dxa" w:w="3312"/>
          </w:tcPr>
          <w:p>
            <w:r>
              <w:t>Legacy vs Strict V2 candidate-set disagreement</w:t>
            </w:r>
          </w:p>
        </w:tc>
        <w:tc>
          <w:tcPr>
            <w:tcW w:type="dxa" w:w="3312"/>
          </w:tcPr>
          <w:p>
            <w:r>
              <w:t>229</w:t>
            </w:r>
          </w:p>
        </w:tc>
        <w:tc>
          <w:tcPr>
            <w:tcW w:type="dxa" w:w="3312"/>
          </w:tcPr>
          <w:p>
            <w:r>
              <w:t>19.08%</w:t>
            </w:r>
          </w:p>
        </w:tc>
      </w:tr>
      <w:tr>
        <w:tc>
          <w:tcPr>
            <w:tcW w:type="dxa" w:w="3312"/>
          </w:tcPr>
          <w:p>
            <w:r>
              <w:t>Legacy retained at least one strictly invalid candidate</w:t>
            </w:r>
          </w:p>
        </w:tc>
        <w:tc>
          <w:tcPr>
            <w:tcW w:type="dxa" w:w="3312"/>
          </w:tcPr>
          <w:p>
            <w:r>
              <w:t>229</w:t>
            </w:r>
          </w:p>
        </w:tc>
        <w:tc>
          <w:tcPr>
            <w:tcW w:type="dxa" w:w="3312"/>
          </w:tcPr>
          <w:p>
            <w:r>
              <w:t>19.08%</w:t>
            </w:r>
          </w:p>
        </w:tc>
      </w:tr>
      <w:tr>
        <w:tc>
          <w:tcPr>
            <w:tcW w:type="dxa" w:w="3312"/>
          </w:tcPr>
          <w:p>
            <w:r>
              <w:t>Legacy rejected a strictly valid candidate</w:t>
            </w:r>
          </w:p>
        </w:tc>
        <w:tc>
          <w:tcPr>
            <w:tcW w:type="dxa" w:w="3312"/>
          </w:tcPr>
          <w:p>
            <w:r>
              <w:t>0</w:t>
            </w:r>
          </w:p>
        </w:tc>
        <w:tc>
          <w:tcPr>
            <w:tcW w:type="dxa" w:w="3312"/>
          </w:tcPr>
          <w:p>
            <w:r>
              <w:t>0.00%</w:t>
            </w:r>
          </w:p>
        </w:tc>
      </w:tr>
      <w:tr>
        <w:tc>
          <w:tcPr>
            <w:tcW w:type="dxa" w:w="3312"/>
          </w:tcPr>
          <w:p>
            <w:r>
              <w:t>Strict-empty feasible set</w:t>
            </w:r>
          </w:p>
        </w:tc>
        <w:tc>
          <w:tcPr>
            <w:tcW w:type="dxa" w:w="3312"/>
          </w:tcPr>
          <w:p>
            <w:r>
              <w:t>14</w:t>
            </w:r>
          </w:p>
        </w:tc>
        <w:tc>
          <w:tcPr>
            <w:tcW w:type="dxa" w:w="3312"/>
          </w:tcPr>
          <w:p>
            <w:r>
              <w:t>1.17%</w:t>
            </w:r>
          </w:p>
        </w:tc>
      </w:tr>
      <w:tr>
        <w:tc>
          <w:tcPr>
            <w:tcW w:type="dxa" w:w="3312"/>
          </w:tcPr>
          <w:p>
            <w:r>
              <w:t>Legacy non-empty when strict set was empty</w:t>
            </w:r>
          </w:p>
        </w:tc>
        <w:tc>
          <w:tcPr>
            <w:tcW w:type="dxa" w:w="3312"/>
          </w:tcPr>
          <w:p>
            <w:r>
              <w:t>14</w:t>
            </w:r>
          </w:p>
        </w:tc>
        <w:tc>
          <w:tcPr>
            <w:tcW w:type="dxa" w:w="3312"/>
          </w:tcPr>
          <w:p>
            <w:r>
              <w:t>1.17%</w:t>
            </w:r>
          </w:p>
        </w:tc>
      </w:tr>
      <w:tr>
        <w:tc>
          <w:tcPr>
            <w:tcW w:type="dxa" w:w="3312"/>
          </w:tcPr>
          <w:p>
            <w:r>
              <w:t>Mobility contributed to over-acceptance</w:t>
            </w:r>
          </w:p>
        </w:tc>
        <w:tc>
          <w:tcPr>
            <w:tcW w:type="dxa" w:w="3312"/>
          </w:tcPr>
          <w:p>
            <w:r>
              <w:t>61</w:t>
            </w:r>
          </w:p>
        </w:tc>
        <w:tc>
          <w:tcPr>
            <w:tcW w:type="dxa" w:w="3312"/>
          </w:tcPr>
          <w:p>
            <w:r>
              <w:t>5.08%</w:t>
            </w:r>
          </w:p>
        </w:tc>
      </w:tr>
      <w:tr>
        <w:tc>
          <w:tcPr>
            <w:tcW w:type="dxa" w:w="3312"/>
          </w:tcPr>
          <w:p>
            <w:r>
              <w:t>Mobility-only disagreement</w:t>
            </w:r>
          </w:p>
        </w:tc>
        <w:tc>
          <w:tcPr>
            <w:tcW w:type="dxa" w:w="3312"/>
          </w:tcPr>
          <w:p>
            <w:r>
              <w:t>37</w:t>
            </w:r>
          </w:p>
        </w:tc>
        <w:tc>
          <w:tcPr>
            <w:tcW w:type="dxa" w:w="3312"/>
          </w:tcPr>
          <w:p>
            <w:r>
              <w:t>3.08%</w:t>
            </w:r>
          </w:p>
        </w:tc>
      </w:tr>
    </w:tbl>
    <w:p>
      <w:r>
        <w:t>All 229 candidate-set disagreements were legacy over-acceptance; there were no cases in which the legacy contract rejected a candidate that Strict V2 considered feasible. The 14 strict-empty requests expose the legacy fallback most directly: strict analysis found no feasible catalogue slice, yet the legacy implementation returned a non-empty set in all 14 cases.</w:t>
      </w:r>
    </w:p>
    <w:p>
      <w:pPr>
        <w:pStyle w:val="Heading1"/>
      </w:pPr>
      <w:r>
        <w:t>7. KPI Attribution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KPI</w:t>
            </w:r>
          </w:p>
        </w:tc>
        <w:tc>
          <w:tcPr>
            <w:tcW w:type="dxa" w:w="3312"/>
          </w:tcPr>
          <w:p>
            <w:r>
              <w:t>Rows</w:t>
            </w:r>
          </w:p>
        </w:tc>
        <w:tc>
          <w:tcPr>
            <w:tcW w:type="dxa" w:w="3312"/>
          </w:tcPr>
          <w:p>
            <w:r>
              <w:t>Percent of 1,200</w:t>
            </w:r>
          </w:p>
        </w:tc>
      </w:tr>
      <w:tr>
        <w:tc>
          <w:tcPr>
            <w:tcW w:type="dxa" w:w="3312"/>
          </w:tcPr>
          <w:p>
            <w:r>
              <w:t>Density</w:t>
            </w:r>
          </w:p>
        </w:tc>
        <w:tc>
          <w:tcPr>
            <w:tcW w:type="dxa" w:w="3312"/>
          </w:tcPr>
          <w:p>
            <w:r>
              <w:t>103</w:t>
            </w:r>
          </w:p>
        </w:tc>
        <w:tc>
          <w:tcPr>
            <w:tcW w:type="dxa" w:w="3312"/>
          </w:tcPr>
          <w:p>
            <w:r>
              <w:t>8.58%</w:t>
            </w:r>
          </w:p>
        </w:tc>
      </w:tr>
      <w:tr>
        <w:tc>
          <w:tcPr>
            <w:tcW w:type="dxa" w:w="3312"/>
          </w:tcPr>
          <w:p>
            <w:r>
              <w:t>Latency</w:t>
            </w:r>
          </w:p>
        </w:tc>
        <w:tc>
          <w:tcPr>
            <w:tcW w:type="dxa" w:w="3312"/>
          </w:tcPr>
          <w:p>
            <w:r>
              <w:t>63</w:t>
            </w:r>
          </w:p>
        </w:tc>
        <w:tc>
          <w:tcPr>
            <w:tcW w:type="dxa" w:w="3312"/>
          </w:tcPr>
          <w:p>
            <w:r>
              <w:t>5.25%</w:t>
            </w:r>
          </w:p>
        </w:tc>
      </w:tr>
      <w:tr>
        <w:tc>
          <w:tcPr>
            <w:tcW w:type="dxa" w:w="3312"/>
          </w:tcPr>
          <w:p>
            <w:r>
              <w:t>Mobility</w:t>
            </w:r>
          </w:p>
        </w:tc>
        <w:tc>
          <w:tcPr>
            <w:tcW w:type="dxa" w:w="3312"/>
          </w:tcPr>
          <w:p>
            <w:r>
              <w:t>61</w:t>
            </w:r>
          </w:p>
        </w:tc>
        <w:tc>
          <w:tcPr>
            <w:tcW w:type="dxa" w:w="3312"/>
          </w:tcPr>
          <w:p>
            <w:r>
              <w:t>5.08%</w:t>
            </w:r>
          </w:p>
        </w:tc>
      </w:tr>
      <w:tr>
        <w:tc>
          <w:tcPr>
            <w:tcW w:type="dxa" w:w="3312"/>
          </w:tcPr>
          <w:p>
            <w:r>
              <w:t>Throughput</w:t>
            </w:r>
          </w:p>
        </w:tc>
        <w:tc>
          <w:tcPr>
            <w:tcW w:type="dxa" w:w="3312"/>
          </w:tcPr>
          <w:p>
            <w:r>
              <w:t>37</w:t>
            </w:r>
          </w:p>
        </w:tc>
        <w:tc>
          <w:tcPr>
            <w:tcW w:type="dxa" w:w="3312"/>
          </w:tcPr>
          <w:p>
            <w:r>
              <w:t>3.08%</w:t>
            </w:r>
          </w:p>
        </w:tc>
      </w:tr>
      <w:tr>
        <w:tc>
          <w:tcPr>
            <w:tcW w:type="dxa" w:w="3312"/>
          </w:tcPr>
          <w:p>
            <w:r>
              <w:t>Reliability</w:t>
            </w:r>
          </w:p>
        </w:tc>
        <w:tc>
          <w:tcPr>
            <w:tcW w:type="dxa" w:w="3312"/>
          </w:tcPr>
          <w:p>
            <w:r>
              <w:t>0</w:t>
            </w:r>
          </w:p>
        </w:tc>
        <w:tc>
          <w:tcPr>
            <w:tcW w:type="dxa" w:w="3312"/>
          </w:tcPr>
          <w:p>
            <w:r>
              <w:t>0.00%</w:t>
            </w:r>
          </w:p>
        </w:tc>
      </w:tr>
    </w:tbl>
    <w:p>
      <w:r>
        <w:t>KPI attribution categories overlap: a single intent can violate multiple dimensions. Density was the largest observed contributor. Mobility, which was omitted from the legacy feasibility check, contributed to 61 disagreements; 37 were mobility-only disagreements.</w:t>
      </w:r>
    </w:p>
    <w:p>
      <w:pPr>
        <w:pStyle w:val="Heading1"/>
      </w:pPr>
      <w:r>
        <w:t>8. E5 Prediction-Level Safety Audit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Measure</w:t>
            </w:r>
          </w:p>
        </w:tc>
        <w:tc>
          <w:tcPr>
            <w:tcW w:type="dxa" w:w="3312"/>
          </w:tcPr>
          <w:p>
            <w:r>
              <w:t>Count</w:t>
            </w:r>
          </w:p>
        </w:tc>
        <w:tc>
          <w:tcPr>
            <w:tcW w:type="dxa" w:w="3312"/>
          </w:tcPr>
          <w:p>
            <w:r>
              <w:t>Percent</w:t>
            </w:r>
          </w:p>
        </w:tc>
      </w:tr>
      <w:tr>
        <w:tc>
          <w:tcPr>
            <w:tcW w:type="dxa" w:w="3312"/>
          </w:tcPr>
          <w:p>
            <w:r>
              <w:t>Frozen E5 decisions audited</w:t>
            </w:r>
          </w:p>
        </w:tc>
        <w:tc>
          <w:tcPr>
            <w:tcW w:type="dxa" w:w="3312"/>
          </w:tcPr>
          <w:p>
            <w:r>
              <w:t>100</w:t>
            </w:r>
          </w:p>
        </w:tc>
        <w:tc>
          <w:tcPr>
            <w:tcW w:type="dxa" w:w="3312"/>
          </w:tcPr>
          <w:p>
            <w:r>
              <w:t>100%</w:t>
            </w:r>
          </w:p>
        </w:tc>
      </w:tr>
      <w:tr>
        <w:tc>
          <w:tcPr>
            <w:tcW w:type="dxa" w:w="3312"/>
          </w:tcPr>
          <w:p>
            <w:r>
              <w:t>Legacy-valid predictions</w:t>
            </w:r>
          </w:p>
        </w:tc>
        <w:tc>
          <w:tcPr>
            <w:tcW w:type="dxa" w:w="3312"/>
          </w:tcPr>
          <w:p>
            <w:r>
              <w:t>100</w:t>
            </w:r>
          </w:p>
        </w:tc>
        <w:tc>
          <w:tcPr>
            <w:tcW w:type="dxa" w:w="3312"/>
          </w:tcPr>
          <w:p>
            <w:r>
              <w:t>100%</w:t>
            </w:r>
          </w:p>
        </w:tc>
      </w:tr>
      <w:tr>
        <w:tc>
          <w:tcPr>
            <w:tcW w:type="dxa" w:w="3312"/>
          </w:tcPr>
          <w:p>
            <w:r>
              <w:t>Strict-V2-valid predictions</w:t>
            </w:r>
          </w:p>
        </w:tc>
        <w:tc>
          <w:tcPr>
            <w:tcW w:type="dxa" w:w="3312"/>
          </w:tcPr>
          <w:p>
            <w:r>
              <w:t>97</w:t>
            </w:r>
          </w:p>
        </w:tc>
        <w:tc>
          <w:tcPr>
            <w:tcW w:type="dxa" w:w="3312"/>
          </w:tcPr>
          <w:p>
            <w:r>
              <w:t>97%</w:t>
            </w:r>
          </w:p>
        </w:tc>
      </w:tr>
      <w:tr>
        <w:tc>
          <w:tcPr>
            <w:tcW w:type="dxa" w:w="3312"/>
          </w:tcPr>
          <w:p>
            <w:r>
              <w:t>False-feasible predictions</w:t>
            </w:r>
          </w:p>
        </w:tc>
        <w:tc>
          <w:tcPr>
            <w:tcW w:type="dxa" w:w="3312"/>
          </w:tcPr>
          <w:p>
            <w:r>
              <w:t>3</w:t>
            </w:r>
          </w:p>
        </w:tc>
        <w:tc>
          <w:tcPr>
            <w:tcW w:type="dxa" w:w="3312"/>
          </w:tcPr>
          <w:p>
            <w:r>
              <w:t>3%</w:t>
            </w:r>
          </w:p>
        </w:tc>
      </w:tr>
      <w:tr>
        <w:tc>
          <w:tcPr>
            <w:tcW w:type="dxa" w:w="3312"/>
          </w:tcPr>
          <w:p>
            <w:r>
              <w:t>False-feasible + ACCEPT</w:t>
            </w:r>
          </w:p>
        </w:tc>
        <w:tc>
          <w:tcPr>
            <w:tcW w:type="dxa" w:w="3312"/>
          </w:tcPr>
          <w:p>
            <w:r>
              <w:t>2</w:t>
            </w:r>
          </w:p>
        </w:tc>
        <w:tc>
          <w:tcPr>
            <w:tcW w:type="dxa" w:w="3312"/>
          </w:tcPr>
          <w:p>
            <w:r>
              <w:t>2%</w:t>
            </w:r>
          </w:p>
        </w:tc>
      </w:tr>
      <w:tr>
        <w:tc>
          <w:tcPr>
            <w:tcW w:type="dxa" w:w="3312"/>
          </w:tcPr>
          <w:p>
            <w:r>
              <w:t>False-feasible + ESCALATE</w:t>
            </w:r>
          </w:p>
        </w:tc>
        <w:tc>
          <w:tcPr>
            <w:tcW w:type="dxa" w:w="3312"/>
          </w:tcPr>
          <w:p>
            <w:r>
              <w:t>1</w:t>
            </w:r>
          </w:p>
        </w:tc>
        <w:tc>
          <w:tcPr>
            <w:tcW w:type="dxa" w:w="3312"/>
          </w:tcPr>
          <w:p>
            <w:r>
              <w:t>1%</w:t>
            </w:r>
          </w:p>
        </w:tc>
      </w:tr>
    </w:tbl>
    <w:p>
      <w:pPr>
        <w:pStyle w:val="Heading1"/>
      </w:pPr>
      <w:r>
        <w:t>9. Critical False-Feasible Cases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ID</w:t>
            </w:r>
          </w:p>
        </w:tc>
        <w:tc>
          <w:tcPr>
            <w:tcW w:type="dxa" w:w="1656"/>
          </w:tcPr>
          <w:p>
            <w:r>
              <w:t>Prediction</w:t>
            </w:r>
          </w:p>
        </w:tc>
        <w:tc>
          <w:tcPr>
            <w:tcW w:type="dxa" w:w="1656"/>
          </w:tcPr>
          <w:p>
            <w:r>
              <w:t>Truth</w:t>
            </w:r>
          </w:p>
        </w:tc>
        <w:tc>
          <w:tcPr>
            <w:tcW w:type="dxa" w:w="1656"/>
          </w:tcPr>
          <w:p>
            <w:r>
              <w:t>Action</w:t>
            </w:r>
          </w:p>
        </w:tc>
        <w:tc>
          <w:tcPr>
            <w:tcW w:type="dxa" w:w="1656"/>
          </w:tcPr>
          <w:p>
            <w:r>
              <w:t>Classification correct?</w:t>
            </w:r>
          </w:p>
        </w:tc>
        <w:tc>
          <w:tcPr>
            <w:tcW w:type="dxa" w:w="1656"/>
          </w:tcPr>
          <w:p>
            <w:r>
              <w:t>Strict violation(s)</w:t>
            </w:r>
          </w:p>
        </w:tc>
      </w:tr>
      <w:tr>
        <w:tc>
          <w:tcPr>
            <w:tcW w:type="dxa" w:w="1656"/>
          </w:tcPr>
          <w:p>
            <w:r>
              <w:t>27</w:t>
            </w:r>
          </w:p>
        </w:tc>
        <w:tc>
          <w:tcPr>
            <w:tcW w:type="dxa" w:w="1656"/>
          </w:tcPr>
          <w:p>
            <w:r>
              <w:t>mMTC</w:t>
            </w:r>
          </w:p>
        </w:tc>
        <w:tc>
          <w:tcPr>
            <w:tcW w:type="dxa" w:w="1656"/>
          </w:tcPr>
          <w:p>
            <w:r>
              <w:t>eMBB</w:t>
            </w:r>
          </w:p>
        </w:tc>
        <w:tc>
          <w:tcPr>
            <w:tcW w:type="dxa" w:w="1656"/>
          </w:tcPr>
          <w:p>
            <w:r>
              <w:t>ESCALATE</w:t>
            </w:r>
          </w:p>
        </w:tc>
        <w:tc>
          <w:tcPr>
            <w:tcW w:type="dxa" w:w="1656"/>
          </w:tcPr>
          <w:p>
            <w:r>
              <w:t>No</w:t>
            </w:r>
          </w:p>
        </w:tc>
        <w:tc>
          <w:tcPr>
            <w:tcW w:type="dxa" w:w="1656"/>
          </w:tcPr>
          <w:p>
            <w:r>
              <w:t>Density + mobility</w:t>
            </w:r>
          </w:p>
        </w:tc>
      </w:tr>
      <w:tr>
        <w:tc>
          <w:tcPr>
            <w:tcW w:type="dxa" w:w="1656"/>
          </w:tcPr>
          <w:p>
            <w:r>
              <w:t>178</w:t>
            </w:r>
          </w:p>
        </w:tc>
        <w:tc>
          <w:tcPr>
            <w:tcW w:type="dxa" w:w="1656"/>
          </w:tcPr>
          <w:p>
            <w:r>
              <w:t>URLLC</w:t>
            </w:r>
          </w:p>
        </w:tc>
        <w:tc>
          <w:tcPr>
            <w:tcW w:type="dxa" w:w="1656"/>
          </w:tcPr>
          <w:p>
            <w:r>
              <w:t>URLLC</w:t>
            </w:r>
          </w:p>
        </w:tc>
        <w:tc>
          <w:tcPr>
            <w:tcW w:type="dxa" w:w="1656"/>
          </w:tcPr>
          <w:p>
            <w:r>
              <w:t>ACCEPT</w:t>
            </w:r>
          </w:p>
        </w:tc>
        <w:tc>
          <w:tcPr>
            <w:tcW w:type="dxa" w:w="1656"/>
          </w:tcPr>
          <w:p>
            <w:r>
              <w:t>Yes</w:t>
            </w:r>
          </w:p>
        </w:tc>
        <w:tc>
          <w:tcPr>
            <w:tcW w:type="dxa" w:w="1656"/>
          </w:tcPr>
          <w:p>
            <w:r>
              <w:t>Density + mobility</w:t>
            </w:r>
          </w:p>
        </w:tc>
      </w:tr>
      <w:tr>
        <w:tc>
          <w:tcPr>
            <w:tcW w:type="dxa" w:w="1656"/>
          </w:tcPr>
          <w:p>
            <w:r>
              <w:t>1160</w:t>
            </w:r>
          </w:p>
        </w:tc>
        <w:tc>
          <w:tcPr>
            <w:tcW w:type="dxa" w:w="1656"/>
          </w:tcPr>
          <w:p>
            <w:r>
              <w:t>mMTC</w:t>
            </w:r>
          </w:p>
        </w:tc>
        <w:tc>
          <w:tcPr>
            <w:tcW w:type="dxa" w:w="1656"/>
          </w:tcPr>
          <w:p>
            <w:r>
              <w:t>mMTC</w:t>
            </w:r>
          </w:p>
        </w:tc>
        <w:tc>
          <w:tcPr>
            <w:tcW w:type="dxa" w:w="1656"/>
          </w:tcPr>
          <w:p>
            <w:r>
              <w:t>ACCEPT</w:t>
            </w:r>
          </w:p>
        </w:tc>
        <w:tc>
          <w:tcPr>
            <w:tcW w:type="dxa" w:w="1656"/>
          </w:tcPr>
          <w:p>
            <w:r>
              <w:t>Yes</w:t>
            </w:r>
          </w:p>
        </w:tc>
        <w:tc>
          <w:tcPr>
            <w:tcW w:type="dxa" w:w="1656"/>
          </w:tcPr>
          <w:p>
            <w:r>
              <w:t>Density + throughput</w:t>
            </w:r>
          </w:p>
        </w:tc>
      </w:tr>
    </w:tbl>
    <w:p>
      <w:r>
        <w:t>All three false-feasible E5 decisions occurred on strict-empty requests. Therefore, these cases cannot be repaired simply by choosing a different catalogue slice: the safe action is escalation, rejection, or explicit infeasibility handling.</w:t>
      </w:r>
    </w:p>
    <w:p>
      <w:pPr>
        <w:pStyle w:val="Heading1"/>
      </w:pPr>
      <w:r>
        <w:t>10. Main Safety Interpretation</w:t>
      </w:r>
    </w:p>
    <w:p>
      <w:r>
        <w:t>Two of the three false-feasible decisions were classification-correct: the predicted slice matched the dataset truth label, yet the complete KPI combination was infeasible under the catalogue. This demonstrates that classification accuracy and macro-F1 alone are insufficient safety indicators for autonomous slice orchestration. A separate feasibility guard is required before deployment.</w:t>
      </w:r>
    </w:p>
    <w:p>
      <w:r>
        <w:t>R2 does not invalidate the original E1-E5 experiments. It identifies a limitation in the original contract-validity definition and quantifies its effect using frozen evidence. The original metrics should be described as legacy-contract results, with Strict V2 reported separately as a safety-oriented re-analysis.</w:t>
      </w:r>
    </w:p>
    <w:p>
      <w:pPr>
        <w:pStyle w:val="Heading1"/>
      </w:pPr>
      <w:r>
        <w:t>11. Scope and Limitations</w:t>
      </w:r>
    </w:p>
    <w:p>
      <w:pPr>
        <w:pStyle w:val="ListBullet"/>
      </w:pPr>
      <w:r>
        <w:t>Row-level predictions were preserved for the 100-intent E5 run, enabling direct selected-decision re-analysis.</w:t>
      </w:r>
    </w:p>
    <w:p>
      <w:pPr>
        <w:pStyle w:val="ListBullet"/>
      </w:pPr>
      <w:r>
        <w:t>Equivalent row-level predictions were not preserved for every E1-E4 multi-seed run; prediction-level strict metrics should not be retrospectively claimed for those runs without rerunning models.</w:t>
      </w:r>
    </w:p>
    <w:p>
      <w:pPr>
        <w:pStyle w:val="ListBullet"/>
      </w:pPr>
      <w:r>
        <w:t>The 1,200-intent candidate-set audit and the 100-intent E5 prediction-level audit are distinct analyses and should be reported separately.</w:t>
      </w:r>
    </w:p>
    <w:p>
      <w:pPr>
        <w:pStyle w:val="ListBullet"/>
      </w:pPr>
      <w:r>
        <w:t>KPI attribution counts overlap and therefore should not be summed as independent disagreement counts.</w:t>
      </w:r>
    </w:p>
    <w:p>
      <w:pPr>
        <w:pStyle w:val="Heading1"/>
      </w:pPr>
      <w:r>
        <w:t>12. Integrity and Reproducibility</w:t>
      </w:r>
    </w:p>
    <w:p>
      <w:r>
        <w:t>Final R2 integrity validation passed 35/35 checks. The frozen xagentic_slice.py source, the 1,200-row corpus, and the frozen E5 decision file remained unchanged. V1 and V2 are preserved as distinct files, with V1 explicitly marked superseded and retained only for provenance.</w:t>
      </w:r>
    </w:p>
    <w:tbl>
      <w:tblPr>
        <w:tblStyle w:val="TableGrid"/>
        <w:tblW w:type="auto" w:w="0"/>
        <w:jc w:val="center"/>
        <w:tblLook w:firstColumn="1" w:firstRow="1" w:lastColumn="0" w:lastRow="0" w:noHBand="0" w:noVBand="1" w:val="04A0"/>
      </w:tblPr>
      <w:tblGrid>
        <w:gridCol w:w="4968"/>
        <w:gridCol w:w="4968"/>
      </w:tblGrid>
      <w:tr>
        <w:tc>
          <w:tcPr>
            <w:tcW w:type="dxa" w:w="4968"/>
          </w:tcPr>
          <w:p>
            <w:r>
              <w:t>Artifact</w:t>
            </w:r>
          </w:p>
        </w:tc>
        <w:tc>
          <w:tcPr>
            <w:tcW w:type="dxa" w:w="4968"/>
          </w:tcPr>
          <w:p>
            <w:r>
              <w:t>SHA-256</w:t>
            </w:r>
          </w:p>
        </w:tc>
      </w:tr>
      <w:tr>
        <w:tc>
          <w:tcPr>
            <w:tcW w:type="dxa" w:w="4968"/>
          </w:tcPr>
          <w:p>
            <w:r>
              <w:t>Strict V2 oracle SHA-256</w:t>
            </w:r>
          </w:p>
        </w:tc>
        <w:tc>
          <w:tcPr>
            <w:tcW w:type="dxa" w:w="4968"/>
          </w:tcPr>
          <w:p>
            <w:r>
              <w:t>75b1cd0e4847f2cbc38690ec32c1b0dd17343c89582e0f4ed206fb7421867cd1</w:t>
            </w:r>
          </w:p>
        </w:tc>
      </w:tr>
      <w:tr>
        <w:tc>
          <w:tcPr>
            <w:tcW w:type="dxa" w:w="4968"/>
          </w:tcPr>
          <w:p>
            <w:r>
              <w:t>Frozen xagentic_slice.py SHA-256</w:t>
            </w:r>
          </w:p>
        </w:tc>
        <w:tc>
          <w:tcPr>
            <w:tcW w:type="dxa" w:w="4968"/>
          </w:tcPr>
          <w:p>
            <w:r>
              <w:t>7bf2f1190a2928f273578425f194fc3272385d4baaa9044bff771d0fd748ae05</w:t>
            </w:r>
          </w:p>
        </w:tc>
      </w:tr>
      <w:tr>
        <w:tc>
          <w:tcPr>
            <w:tcW w:type="dxa" w:w="4968"/>
          </w:tcPr>
          <w:p>
            <w:r>
              <w:t>Frozen 1,200-row corpus SHA-256</w:t>
            </w:r>
          </w:p>
        </w:tc>
        <w:tc>
          <w:tcPr>
            <w:tcW w:type="dxa" w:w="4968"/>
          </w:tcPr>
          <w:p>
            <w:r>
              <w:t>5358e25a06c863fcb25b4d906608783d612c0b1411373f140573408555b04b08</w:t>
            </w:r>
          </w:p>
        </w:tc>
      </w:tr>
      <w:tr>
        <w:tc>
          <w:tcPr>
            <w:tcW w:type="dxa" w:w="4968"/>
          </w:tcPr>
          <w:p>
            <w:r>
              <w:t>Frozen E5 decisions SHA-256</w:t>
            </w:r>
          </w:p>
        </w:tc>
        <w:tc>
          <w:tcPr>
            <w:tcW w:type="dxa" w:w="4968"/>
          </w:tcPr>
          <w:p>
            <w:r>
              <w:t>2ae03f26b2c58c3f2e319dcdaa3eb0b91a70d5441c85a41aff4f981270ec0de7</w:t>
            </w:r>
          </w:p>
        </w:tc>
      </w:tr>
    </w:tbl>
    <w:p>
      <w:pPr>
        <w:pStyle w:val="Heading1"/>
      </w:pPr>
      <w:r>
        <w:t>13. Final Frozen Package</w:t>
      </w:r>
    </w:p>
    <w:p>
      <w:r>
        <w:t>Final package: XAgentic_R2_Strict_Feasibility_FINAL_2026-10-07.zip</w:t>
        <w:br/>
        <w:t>ZIP members: 118</w:t>
        <w:br/>
        <w:t>ZIP size: 623,996 bytes</w:t>
        <w:br/>
        <w:t>ZIP SHA-256: 4abb7258200f6b599354fb9133a5199376c3fb69ff8d657bca72e6e883f9971c</w:t>
        <w:br/>
        <w:t>Status: FINAL / FROZEN</w:t>
      </w:r>
    </w:p>
    <w:p>
      <w:pPr>
        <w:pStyle w:val="Heading1"/>
      </w:pPr>
      <w:r>
        <w:t>14. Recommended Paper-Level Takeaway</w:t>
      </w:r>
    </w:p>
    <w:p>
      <w:r>
        <w:rPr>
          <w:b/>
        </w:rPr>
        <w:t>The original permissive feasibility contract over-accepted candidates in 19.08% of frozen intents. A direction-aware five-KPI strict audit exposed 14 requests with no feasible slice and identified a 3% false-feasible rate among 100 frozen E5 decisions, including 2% that were autonomously accepted. These findings motivate explicit strict feasibility enforcement before autonomous slice deployment.</w:t>
      </w:r>
    </w:p>
    <w:p>
      <w:pPr>
        <w:pStyle w:val="Heading1"/>
      </w:pPr>
      <w:r>
        <w:t>15. R2 Closure</w:t>
      </w:r>
    </w:p>
    <w:p>
      <w:r>
        <w:t>R2 is complete. No further R2 experiments are required for the current evidence package. The next reviewer-improvement activity can proceed independently as R3 - Candidate Masking, while R1 and R2 remain frozen.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Final / Frozen - 07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XAgentic R2 | Strict Feasibility and Validity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