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R3 — Candidate Masking: Two-Page Research Summary</w:t>
      </w:r>
    </w:p>
    <w:p>
      <w:pPr>
        <w:jc w:val="center"/>
      </w:pPr>
      <w:r>
        <w:t>Frozen evidence: 7 October 2026 | 360 held-out requests | Seed 42</w:t>
      </w:r>
    </w:p>
    <w:p>
      <w:pPr>
        <w:pStyle w:val="Heading1"/>
      </w:pPr>
      <w:r>
        <w:t>1. Central R3 research question</w:t>
      </w:r>
    </w:p>
    <w:p>
      <w:r>
        <w:t>Can strict KPI-feasibility masking prevent infeasible autonomous network-slice selections, and can an independently calibrated escalation rule avoid forcing low-probability feasible alternatives while preserving useful autonomous coverage? R3 tests safety, selective accuracy, and the cost of abstaining—not merely raw classification accuracy.</w:t>
      </w:r>
    </w:p>
    <w:p>
      <w:pPr>
        <w:pStyle w:val="Heading1"/>
      </w:pPr>
      <w:r>
        <w:t>2. Steps performed</w:t>
      </w:r>
    </w:p>
    <w:p>
      <w:pPr>
        <w:pStyle w:val="ListBullet"/>
      </w:pPr>
      <w:r>
        <w:t>Provenance verification: recovered the exact frozen 1,200-request E5 corpus and packaged Selection-Agent code; rejected mismatched regenerated corpora and superseded diagnostic runs. Reconstructed the R2-V2 strict oracle and verified its feasible sets against 1,200 frozen records.</w:t>
      </w:r>
    </w:p>
    <w:p>
      <w:pPr>
        <w:pStyle w:val="ListBullet"/>
      </w:pPr>
      <w:r>
        <w:t>Baseline reconstruction: reproduced the seed-42 Gradient Boosting Selection Agent with genuine three-class predict_proba() outputs; aligned 360 held-out requests to R2-V2 parsed-KPI evidence by exact intent text.</w:t>
      </w:r>
    </w:p>
    <w:p>
      <w:pPr>
        <w:pStyle w:val="ListBullet"/>
      </w:pPr>
      <w:r>
        <w:t>Strict candidate masking: removed infeasible classes before argmax, selected the highest-probability feasible class, and escalated empty feasible sets. Audited every changed decision and its nominal-label feasibility.</w:t>
      </w:r>
    </w:p>
    <w:p>
      <w:pPr>
        <w:pStyle w:val="ListBullet"/>
      </w:pPr>
      <w:r>
        <w:t>Failure diagnosis: identified that all 13 apparent correct→wrong hard-mask changes involved nominal truth labels that were themselves strictly infeasible; examined feasible-class probability mass to identify low-support forced decisions.</w:t>
      </w:r>
    </w:p>
    <w:p>
      <w:pPr>
        <w:pStyle w:val="ListBullet"/>
      </w:pPr>
      <w:r>
        <w:t>Calibration and freeze: generated leakage-free five-fold out-of-fold (OOF) probabilities on the 840 training rows. Predeclared a 5% low-mass calibration budget; froze the OOF 5th-percentile threshold before held-out evaluation.</w:t>
      </w:r>
    </w:p>
    <w:p>
      <w:pPr>
        <w:pStyle w:val="ListBullet"/>
      </w:pPr>
      <w:r>
        <w:t>Final held-out test and audit: applied the unchanged frozen policy to all 360 requests; verified decisions, strict validity, transitions, SHA-256 hashes, manifest, and ZIP integrity.</w:t>
      </w:r>
    </w:p>
    <w:p>
      <w:pPr>
        <w:pStyle w:val="Heading1"/>
      </w:pPr>
      <w:r>
        <w:t>3. Training data, test data, and final inference</w:t>
      </w:r>
    </w:p>
    <w:p>
      <w:r>
        <w:t>Data: frozen 1,200-request E5 intent corpus; 840 training and 360 held-out requests. Three slice classes: eMBB, URLLC, and mMTC. R2-V2 determines the strictly feasible candidates from request-level parsed KPI evidence. The 360 held-out feasible-set sizes were: empty 4, singleton 207, two candidates 87, and all three 62.</w:t>
      </w:r>
    </w:p>
    <w:p>
      <w:r>
        <w:t>OOF calibration: 5 stratified folds, seed 42, each validation case predicted by a model not trained on it. OOF accuracy 92.619%; OOF strict validity 93.810%; 830 nonempty candidate sets. Frozen feasible-mass threshold τ = 0.548631598726 (5th percentile). The policy escalates an empty feasible set or feasible probability mass below τ; otherwise it selects the highest-probability feasible class.</w:t>
      </w:r>
    </w:p>
    <w:p>
      <w:r>
        <w:t>Final inference: on 360 held-out requests, the frozen policy made 341 autonomous decisions and escalated 19 (4 empty; 15 low mass). Autonomous accuracy was 96.481% (329/341), autonomous strict validity 100%, and coverage 94.722%. This is selective accuracy, not accuracy over all 360 requests.</w:t>
      </w:r>
    </w:p>
    <w:p>
      <w:r>
        <w:br w:type="page"/>
      </w:r>
    </w:p>
    <w:p>
      <w:pPr>
        <w:pStyle w:val="Heading1"/>
      </w:pPr>
      <w:r>
        <w:t>4. Evidence proving the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System</w:t>
            </w:r>
          </w:p>
        </w:tc>
        <w:tc>
          <w:tcPr>
            <w:tcW w:type="dxa" w:w="2074"/>
          </w:tcPr>
          <w:p>
            <w:r>
              <w:t>Coverage</w:t>
            </w:r>
          </w:p>
        </w:tc>
        <w:tc>
          <w:tcPr>
            <w:tcW w:type="dxa" w:w="2074"/>
          </w:tcPr>
          <w:p>
            <w:r>
              <w:t>Escalation</w:t>
            </w:r>
          </w:p>
        </w:tc>
        <w:tc>
          <w:tcPr>
            <w:tcW w:type="dxa" w:w="2074"/>
          </w:tcPr>
          <w:p>
            <w:r>
              <w:t>Auto. accuracy</w:t>
            </w:r>
          </w:p>
        </w:tc>
        <w:tc>
          <w:tcPr>
            <w:tcW w:type="dxa" w:w="2074"/>
          </w:tcPr>
          <w:p>
            <w:r>
              <w:t>Auto. strict validity</w:t>
            </w:r>
          </w:p>
        </w:tc>
      </w:tr>
      <w:tr>
        <w:tc>
          <w:tcPr>
            <w:tcW w:type="dxa" w:w="2074"/>
          </w:tcPr>
          <w:p>
            <w:r>
              <w:t>Original Selection Agent</w:t>
            </w:r>
          </w:p>
        </w:tc>
        <w:tc>
          <w:tcPr>
            <w:tcW w:type="dxa" w:w="2074"/>
          </w:tcPr>
          <w:p>
            <w:r>
              <w:t>100.000%</w:t>
            </w:r>
          </w:p>
        </w:tc>
        <w:tc>
          <w:tcPr>
            <w:tcW w:type="dxa" w:w="2074"/>
          </w:tcPr>
          <w:p>
            <w:r>
              <w:t>0.000%</w:t>
            </w:r>
          </w:p>
        </w:tc>
        <w:tc>
          <w:tcPr>
            <w:tcW w:type="dxa" w:w="2074"/>
          </w:tcPr>
          <w:p>
            <w:r>
              <w:t>95.833%</w:t>
            </w:r>
          </w:p>
        </w:tc>
        <w:tc>
          <w:tcPr>
            <w:tcW w:type="dxa" w:w="2074"/>
          </w:tcPr>
          <w:p>
            <w:r>
              <w:t>94.722%</w:t>
            </w:r>
          </w:p>
        </w:tc>
      </w:tr>
      <w:tr>
        <w:tc>
          <w:tcPr>
            <w:tcW w:type="dxa" w:w="2074"/>
          </w:tcPr>
          <w:p>
            <w:r>
              <w:t>Strict-V2 hard mask</w:t>
            </w:r>
          </w:p>
        </w:tc>
        <w:tc>
          <w:tcPr>
            <w:tcW w:type="dxa" w:w="2074"/>
          </w:tcPr>
          <w:p>
            <w:r>
              <w:t>98.889%</w:t>
            </w:r>
          </w:p>
        </w:tc>
        <w:tc>
          <w:tcPr>
            <w:tcW w:type="dxa" w:w="2074"/>
          </w:tcPr>
          <w:p>
            <w:r>
              <w:t>1.111%</w:t>
            </w:r>
          </w:p>
        </w:tc>
        <w:tc>
          <w:tcPr>
            <w:tcW w:type="dxa" w:w="2074"/>
          </w:tcPr>
          <w:p>
            <w:r>
              <w:t>92.697%</w:t>
            </w:r>
          </w:p>
        </w:tc>
        <w:tc>
          <w:tcPr>
            <w:tcW w:type="dxa" w:w="2074"/>
          </w:tcPr>
          <w:p>
            <w:r>
              <w:t>100.000%</w:t>
            </w:r>
          </w:p>
        </w:tc>
      </w:tr>
      <w:tr>
        <w:tc>
          <w:tcPr>
            <w:tcW w:type="dxa" w:w="2074"/>
          </w:tcPr>
          <w:p>
            <w:r>
              <w:t>Frozen OOF selective mask</w:t>
            </w:r>
          </w:p>
        </w:tc>
        <w:tc>
          <w:tcPr>
            <w:tcW w:type="dxa" w:w="2074"/>
          </w:tcPr>
          <w:p>
            <w:r>
              <w:t>94.722%</w:t>
            </w:r>
          </w:p>
        </w:tc>
        <w:tc>
          <w:tcPr>
            <w:tcW w:type="dxa" w:w="2074"/>
          </w:tcPr>
          <w:p>
            <w:r>
              <w:t>5.278%</w:t>
            </w:r>
          </w:p>
        </w:tc>
        <w:tc>
          <w:tcPr>
            <w:tcW w:type="dxa" w:w="2074"/>
          </w:tcPr>
          <w:p>
            <w:r>
              <w:t>96.481%</w:t>
            </w:r>
          </w:p>
        </w:tc>
        <w:tc>
          <w:tcPr>
            <w:tcW w:type="dxa" w:w="2074"/>
          </w:tcPr>
          <w:p>
            <w:r>
              <w:t>100.000%</w:t>
            </w:r>
          </w:p>
        </w:tc>
      </w:tr>
    </w:tbl>
    <w:p>
      <w:r>
        <w:t>Original baseline: 341/360 selections strictly feasible; 19/360 infeasible. Hard mask: 356 autonomous, 4 escalated, zero strict violations; however, 13 correct→wrong substitutions exposed nominal-label/constraint conflicts. Ground-truth labels were strictly infeasible in 20/360 requests (5.556%).</w:t>
      </w:r>
    </w:p>
    <w:p>
      <w:r>
        <w:t>Frozen selective policy: 341 autonomous, 19 escalated, zero autonomous strict violations, 329 correct autonomous, 12 incorrect autonomous; 329/360 = 91.389% correct autonomous over the full test set. Final transitions: correct→correct 329, correct→escalate 16, wrong→wrong 12, wrong→escalate 3, correct→wrong 0. Of 19 escalations, 17 had strictly infeasible nominal truth labels and 2 had feasible labels.</w:t>
      </w:r>
    </w:p>
    <w:p>
      <w:r>
        <w:t>Key audit artifacts: R3_final_frozen_policy_heldout_decisions.csv, R3_final_system_comparison.csv, R3_final_frozen_policy_summary.json, R3_frozen_oof_mass_policy.json, and R3_SHA256_MANIFEST.csv. Frozen policy SHA-256: 9ebab1f743c71ee4fb3202976a6d9846b03391e256fbc095bd561c5adf831774.</w:t>
      </w:r>
    </w:p>
    <w:p>
      <w:pPr>
        <w:pStyle w:val="Heading1"/>
      </w:pPr>
      <w:r>
        <w:t>5. Unknowns investigated, interpretation, and future directions</w:t>
      </w:r>
    </w:p>
    <w:p>
      <w:r>
        <w:t>Unknown 1 — Is unconstrained prediction safe? No: 19/360 baseline selections violated strict feasibility. Unknown 2 — Does hard masking solve safety? Yes for autonomous decisions (100% strict validity), but it reduced autonomous accuracy to 92.697%. Unknown 3 — Why did accuracy fall? The 13 apparent harmful substitutions all had infeasible nominal labels, exposing disagreement between labels and hard KPI constraints. Unknown 4 — Can escalation avoid forced choices without tuning on the test set? Yes: an OOF-calibrated feasible-mass threshold produced zero autonomous correct→wrong substitutions and 100% strict validity at 94.722% coverage.</w:t>
      </w:r>
    </w:p>
    <w:p>
      <w:r>
        <w:t>Main conclusion: R3 demonstrates constraint-aware safe selective autonomy, not a general improvement in overall classification accuracy. The 96.481% accuracy applies only to the 341 autonomous decisions; 19 requests abstained, and only 329/360 (91.389%) were correctly handled autonomously. Safety and selective accuracy must always be reported alongside coverage and escalation.</w:t>
      </w:r>
    </w:p>
    <w:p>
      <w:r>
        <w:t>Future directions: (i) evaluate across additional random seeds, traffic mixes, and unseen intent distributions; (ii) audit parsed-KPI errors and nominal-label/feasibility disagreements; (iii) test uncertainty-aware escalation and error capture on difficult subgroups; (iv) measure latency and operational cost of escalation; and (v) validate with end-to-end agentic execution and real network/HPC telemetry. Keep the frozen R3 policy unchanged; label subsequent work as separate experiments.</w:t>
      </w:r>
    </w:p>
    <w:p>
      <w:pPr>
        <w:pStyle w:val="Heading1"/>
      </w:pPr>
      <w:r>
        <w:t>Final frozen package</w:t>
      </w:r>
    </w:p>
    <w:p>
      <w:r>
        <w:t>XAgentic_R3_Candidate_Masking_FINAL_2026-10-07.zip | 329,177 bytes | 30 members. SHA-256: ba0f680c372ddda498eba2f8b84f5df9a599dc04810a679b53ce77af6fce0152. R3-13 audit passed. Preserve the archive unchanged.</w:t>
      </w:r>
    </w:p>
    <w:sectPr w:rsidR="00FC693F" w:rsidRPr="0006063C" w:rsidSect="00034616"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