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R3 — Candidate Masking</w:t>
        <w:br/>
        <w:t>Complete Findings, Final Results, and Close-Out Record</w:t>
      </w:r>
    </w:p>
    <w:p>
      <w:pPr>
        <w:jc w:val="center"/>
      </w:pPr>
      <w:r>
        <w:rPr>
          <w:b/>
        </w:rPr>
        <w:t>Frozen experiment record — 07 October 2026</w:t>
      </w:r>
    </w:p>
    <w:p>
      <w:pPr>
        <w:pStyle w:val="Heading1"/>
      </w:pPr>
      <w:r>
        <w:t>1. R3 Status</w:t>
      </w:r>
    </w:p>
    <w:p>
      <w:r>
        <w:t>R3 is complete and frozen. The final experiment, independent audit, policy freeze, artifact inventory, SHA-256 manifest, and evidence ZIP all passed their integrity checks. No further R3 experimental testing is required unless a later analysis is explicitly labelled as post-hoc or sensitivity analysis.</w:t>
      </w:r>
    </w:p>
    <w:p>
      <w:r>
        <w:rPr>
          <w:b/>
        </w:rPr>
        <w:t xml:space="preserve">Final package: </w:t>
      </w:r>
      <w:r>
        <w:t>XAgentic_R3_Candidate_Masking_FINAL_2026-10-07.zip</w:t>
      </w:r>
    </w:p>
    <w:p>
      <w:r>
        <w:rPr>
          <w:b/>
        </w:rPr>
        <w:t xml:space="preserve">ZIP size: </w:t>
      </w:r>
      <w:r>
        <w:t>329,177 bytes</w:t>
      </w:r>
    </w:p>
    <w:p>
      <w:r>
        <w:rPr>
          <w:b/>
        </w:rPr>
        <w:t xml:space="preserve">ZIP members: </w:t>
      </w:r>
      <w:r>
        <w:t>30</w:t>
      </w:r>
    </w:p>
    <w:p>
      <w:r>
        <w:rPr>
          <w:b/>
        </w:rPr>
        <w:t xml:space="preserve">Final ZIP SHA-256: </w:t>
      </w:r>
      <w:r>
        <w:t>ba0f680c372ddda498eba2f8b84f5df9a599dc04810a679b53ce77af6fce0152</w:t>
      </w:r>
    </w:p>
    <w:p>
      <w:pPr>
        <w:pStyle w:val="Heading1"/>
      </w:pPr>
      <w:r>
        <w:t>2. Objective</w:t>
      </w:r>
    </w:p>
    <w:p>
      <w:r>
        <w:t>R3 evaluates whether strict request-level feasibility constraints can be incorporated into Selection-Agent decision making so that autonomous network-slice selection does not execute KPI-infeasible actions. The experiment studies the trade-off between predictive accuracy, strict validity, autonomous coverage, and escalation.</w:t>
      </w:r>
    </w:p>
    <w:p>
      <w:pPr>
        <w:pStyle w:val="Heading1"/>
      </w:pPr>
      <w:r>
        <w:t>3. Experimental Provenance and Setup</w:t>
      </w:r>
    </w:p>
    <w:p>
      <w:pPr>
        <w:pStyle w:val="ListBullet"/>
      </w:pPr>
      <w:r>
        <w:t>Exact frozen E5 corpus: 1,200 requests.</w:t>
      </w:r>
    </w:p>
    <w:p>
      <w:pPr>
        <w:pStyle w:val="ListBullet"/>
      </w:pPr>
      <w:r>
        <w:t>Packaged source configuration: seed 42.</w:t>
      </w:r>
    </w:p>
    <w:p>
      <w:pPr>
        <w:pStyle w:val="ListBullet"/>
      </w:pPr>
      <w:r>
        <w:t>Frozen split: 840 training requests and 360 held-out test requests.</w:t>
      </w:r>
    </w:p>
    <w:p>
      <w:pPr>
        <w:pStyle w:val="ListBullet"/>
      </w:pPr>
      <w:r>
        <w:t>Selection Agent: Gradient Boosting selected through the packaged model-selection procedure.</w:t>
      </w:r>
    </w:p>
    <w:p>
      <w:pPr>
        <w:pStyle w:val="ListBullet"/>
      </w:pPr>
      <w:r>
        <w:t>Strict feasibility source: frozen R2-V2 oracle.</w:t>
      </w:r>
    </w:p>
    <w:p>
      <w:pPr>
        <w:pStyle w:val="ListBullet"/>
      </w:pPr>
      <w:r>
        <w:t>R3-to-R2 alignment: exact intent text; numeric request ID alone was not used as a cross-realization join key.</w:t>
      </w:r>
    </w:p>
    <w:p>
      <w:pPr>
        <w:pStyle w:val="ListBullet"/>
      </w:pPr>
      <w:r>
        <w:t>Final masking uses genuine Selection-Agent predict_proba() class probabilities.</w:t>
      </w:r>
    </w:p>
    <w:p>
      <w:pPr>
        <w:pStyle w:val="ListBullet"/>
      </w:pPr>
      <w:r>
        <w:t>The final threshold was calibrated on training data using five-fold out-of-fold predictions and frozen before final held-out evaluation.</w:t>
      </w:r>
    </w:p>
    <w:p>
      <w:pPr>
        <w:pStyle w:val="Heading1"/>
      </w:pPr>
      <w:r>
        <w:t>4. Provenance Findings and Corrections</w:t>
      </w:r>
    </w:p>
    <w:p>
      <w:r>
        <w:t>Several diagnostic steps were necessary to ensure that R3 used the exact frozen evidence path. These diagnostics are part of the provenance record but are not treated as final experimental results.</w:t>
      </w:r>
    </w:p>
    <w:p>
      <w:pPr>
        <w:pStyle w:val="ListBullet"/>
      </w:pPr>
      <w:r>
        <w:t>An early reconstruction was contaminated by an already-loaded R1 workspace module and produced seed 46. It was treated as superseded diagnostic evidence.</w:t>
      </w:r>
    </w:p>
    <w:p>
      <w:pPr>
        <w:pStyle w:val="ListBullet"/>
      </w:pPr>
      <w:r>
        <w:t>The R2-V2 oracle was reconstructed with its complete dependency namespace and reproduced all 1,200 frozen R2 feasible sets with zero mismatches.</w:t>
      </w:r>
    </w:p>
    <w:p>
      <w:pPr>
        <w:pStyle w:val="ListBullet"/>
      </w:pPr>
      <w:r>
        <w:t>A regenerated 3,000-row corpus was rejected for final R3 use because it was not the same realization as the frozen 1,200-row E5 corpus.</w:t>
      </w:r>
    </w:p>
    <w:p>
      <w:pPr>
        <w:pStyle w:val="ListBullet"/>
      </w:pPr>
      <w:r>
        <w:t>Raw latent *_true KPI columns were not substituted for request-parsed KPI slots. The frozen R2 evidence had reconstructed parsed KPI slots deterministically from intent text.</w:t>
      </w:r>
    </w:p>
    <w:p>
      <w:pPr>
        <w:pStyle w:val="ListBullet"/>
      </w:pPr>
      <w:r>
        <w:t>The exact frozen 1,200-row E5 corpus was therefore used for final Selection-Agent reconstruction.</w:t>
      </w:r>
    </w:p>
    <w:p>
      <w:pPr>
        <w:pStyle w:val="ListBullet"/>
      </w:pPr>
      <w:r>
        <w:t>A first OOF implementation failed because pandas DataFrame row indices were used as column selectors. The corrected run used positional .iloc indexing. The failed run produced no experimental result.</w:t>
      </w:r>
    </w:p>
    <w:p>
      <w:pPr>
        <w:pStyle w:val="Heading1"/>
      </w:pPr>
      <w:r>
        <w:t>5. Exact Frozen Selection-Agent Reconstruction</w:t>
      </w:r>
    </w:p>
    <w:p>
      <w:pPr>
        <w:pStyle w:val="ListBullet"/>
      </w:pPr>
      <w:r>
        <w:t>Frozen corpus shape: 1,200 rows.</w:t>
      </w:r>
    </w:p>
    <w:p>
      <w:pPr>
        <w:pStyle w:val="ListBullet"/>
      </w:pPr>
      <w:r>
        <w:t>Training split: 840 rows.</w:t>
      </w:r>
    </w:p>
    <w:p>
      <w:pPr>
        <w:pStyle w:val="ListBullet"/>
      </w:pPr>
      <w:r>
        <w:t>Held-out split: 360 rows.</w:t>
      </w:r>
    </w:p>
    <w:p>
      <w:pPr>
        <w:pStyle w:val="ListBullet"/>
      </w:pPr>
      <w:r>
        <w:t>Selected model: Gradient Boosting.</w:t>
      </w:r>
    </w:p>
    <w:p>
      <w:pPr>
        <w:pStyle w:val="ListBullet"/>
      </w:pPr>
      <w:r>
        <w:t>Held-out baseline accuracy: 95.833%.</w:t>
      </w:r>
    </w:p>
    <w:p>
      <w:pPr>
        <w:pStyle w:val="ListBullet"/>
      </w:pPr>
      <w:r>
        <w:t>Held-out baseline macro-F1: approximately 0.9583.</w:t>
      </w:r>
    </w:p>
    <w:p>
      <w:pPr>
        <w:pStyle w:val="ListBullet"/>
      </w:pPr>
      <w:r>
        <w:t>Genuine three-class probability vectors were reproduced and predict() matched argmax(predict_proba()).</w:t>
      </w:r>
    </w:p>
    <w:p>
      <w:pPr>
        <w:pStyle w:val="Heading1"/>
      </w:pPr>
      <w:r>
        <w:t>6. Strict Candidate-Set Analysis on the 360 Held-Out Requests</w:t>
      </w:r>
    </w:p>
    <w:tbl>
      <w:tblPr>
        <w:tblStyle w:val="TableGrid"/>
        <w:tblW w:type="auto" w:w="0"/>
        <w:jc w:val="center"/>
        <w:tblLook w:firstColumn="1" w:firstRow="1" w:lastColumn="0" w:lastRow="0" w:noHBand="0" w:noVBand="1" w:val="04A0"/>
      </w:tblPr>
      <w:tblGrid>
        <w:gridCol w:w="5040"/>
        <w:gridCol w:w="5040"/>
      </w:tblGrid>
      <w:tr>
        <w:tc>
          <w:tcPr>
            <w:tcW w:type="dxa" w:w="5040"/>
          </w:tcPr>
          <w:p>
            <w:r>
              <w:t>Feasible candidates</w:t>
            </w:r>
          </w:p>
        </w:tc>
        <w:tc>
          <w:tcPr>
            <w:tcW w:type="dxa" w:w="5040"/>
          </w:tcPr>
          <w:p>
            <w:r>
              <w:t>Requests</w:t>
            </w:r>
          </w:p>
        </w:tc>
      </w:tr>
      <w:tr>
        <w:tc>
          <w:tcPr>
            <w:tcW w:type="dxa" w:w="5040"/>
          </w:tcPr>
          <w:p>
            <w:r>
              <w:t>0</w:t>
            </w:r>
          </w:p>
        </w:tc>
        <w:tc>
          <w:tcPr>
            <w:tcW w:type="dxa" w:w="5040"/>
          </w:tcPr>
          <w:p>
            <w:r>
              <w:t>4</w:t>
            </w:r>
          </w:p>
        </w:tc>
      </w:tr>
      <w:tr>
        <w:tc>
          <w:tcPr>
            <w:tcW w:type="dxa" w:w="5040"/>
          </w:tcPr>
          <w:p>
            <w:r>
              <w:t>1</w:t>
            </w:r>
          </w:p>
        </w:tc>
        <w:tc>
          <w:tcPr>
            <w:tcW w:type="dxa" w:w="5040"/>
          </w:tcPr>
          <w:p>
            <w:r>
              <w:t>207</w:t>
            </w:r>
          </w:p>
        </w:tc>
      </w:tr>
      <w:tr>
        <w:tc>
          <w:tcPr>
            <w:tcW w:type="dxa" w:w="5040"/>
          </w:tcPr>
          <w:p>
            <w:r>
              <w:t>2</w:t>
            </w:r>
          </w:p>
        </w:tc>
        <w:tc>
          <w:tcPr>
            <w:tcW w:type="dxa" w:w="5040"/>
          </w:tcPr>
          <w:p>
            <w:r>
              <w:t>87</w:t>
            </w:r>
          </w:p>
        </w:tc>
      </w:tr>
      <w:tr>
        <w:tc>
          <w:tcPr>
            <w:tcW w:type="dxa" w:w="5040"/>
          </w:tcPr>
          <w:p>
            <w:r>
              <w:t>3</w:t>
            </w:r>
          </w:p>
        </w:tc>
        <w:tc>
          <w:tcPr>
            <w:tcW w:type="dxa" w:w="5040"/>
          </w:tcPr>
          <w:p>
            <w:r>
              <w:t>62</w:t>
            </w:r>
          </w:p>
        </w:tc>
      </w:tr>
    </w:tbl>
    <w:p>
      <w:r>
        <w:t>The baseline Selection Agent produced 341 strictly valid selections and 19 strictly infeasible selections, corresponding to 94.722% strict validity and a 5.278% infeasible-selection rate.</w:t>
      </w:r>
    </w:p>
    <w:p>
      <w:pPr>
        <w:pStyle w:val="Heading1"/>
      </w:pPr>
      <w:r>
        <w:t>7. Hard Strict-V2 Candidate Masking</w:t>
      </w:r>
    </w:p>
    <w:p>
      <w:r>
        <w:t>The first masking policy removed infeasible candidates from the genuine class-probability vector, renormalized/ranked the feasible candidates, selected the highest-probability feasible candidate, and escalated requests with an empty feasible set.</w:t>
      </w:r>
    </w:p>
    <w:p>
      <w:pPr>
        <w:pStyle w:val="ListBullet"/>
      </w:pPr>
      <w:r>
        <w:t>Autonomous: 356/360 (98.889% coverage).</w:t>
      </w:r>
    </w:p>
    <w:p>
      <w:pPr>
        <w:pStyle w:val="ListBullet"/>
      </w:pPr>
      <w:r>
        <w:t>Escalated: 4/360 (1.111%).</w:t>
      </w:r>
    </w:p>
    <w:p>
      <w:pPr>
        <w:pStyle w:val="ListBullet"/>
      </w:pPr>
      <w:r>
        <w:t>Autonomous strict validity: 100%.</w:t>
      </w:r>
    </w:p>
    <w:p>
      <w:pPr>
        <w:pStyle w:val="ListBullet"/>
      </w:pPr>
      <w:r>
        <w:t>Autonomous strict violations: 0.</w:t>
      </w:r>
    </w:p>
    <w:p>
      <w:pPr>
        <w:pStyle w:val="ListBullet"/>
      </w:pPr>
      <w:r>
        <w:t>Autonomous accuracy: 92.697%.</w:t>
      </w:r>
    </w:p>
    <w:p>
      <w:pPr>
        <w:pStyle w:val="ListBullet"/>
      </w:pPr>
      <w:r>
        <w:t>Autonomous macro-F1: 0.927062.</w:t>
      </w:r>
    </w:p>
    <w:p>
      <w:pPr>
        <w:pStyle w:val="ListBullet"/>
      </w:pPr>
      <w:r>
        <w:t>Correct autonomous decisions: 330/356.</w:t>
      </w:r>
    </w:p>
    <w:p>
      <w:pPr>
        <w:pStyle w:val="ListBullet"/>
      </w:pPr>
      <w:r>
        <w:t>Correct autonomous decisions over all requests: 91.667%.</w:t>
      </w:r>
    </w:p>
    <w:p>
      <w:pPr>
        <w:pStyle w:val="Heading1"/>
      </w:pPr>
      <w:r>
        <w:t>8. Hard-Mask Failure-Mode Audit</w:t>
      </w:r>
    </w:p>
    <w:p>
      <w:pPr>
        <w:pStyle w:val="ListBullet"/>
      </w:pPr>
      <w:r>
        <w:t>Mask actions: 341 KEEP, 15 MASK_CHANGE, 4 ESCALATE_EMPTY.</w:t>
      </w:r>
    </w:p>
    <w:p>
      <w:pPr>
        <w:pStyle w:val="ListBullet"/>
      </w:pPr>
      <w:r>
        <w:t>Transitions: 329 correct→correct, 13 correct→wrong, 13 wrong→wrong, 1 wrong→correct, 3 correct→escalate, 1 wrong→escalate.</w:t>
      </w:r>
    </w:p>
    <w:p>
      <w:pPr>
        <w:pStyle w:val="ListBullet"/>
      </w:pPr>
      <w:r>
        <w:t>All 13 apparent correct→wrong changes occurred where the nominal truth label itself was strictly infeasible under the request KPI constraints.</w:t>
      </w:r>
    </w:p>
    <w:p>
      <w:pPr>
        <w:pStyle w:val="ListBullet"/>
      </w:pPr>
      <w:r>
        <w:t>Truth strictly feasible across the held-out set: 340/360 (94.444%).</w:t>
      </w:r>
    </w:p>
    <w:p>
      <w:pPr>
        <w:pStyle w:val="ListBullet"/>
      </w:pPr>
      <w:r>
        <w:t>Truth strictly infeasible across the held-out set: 20/360 (5.556%).</w:t>
      </w:r>
    </w:p>
    <w:p>
      <w:pPr>
        <w:pStyle w:val="ListBullet"/>
      </w:pPr>
      <w:r>
        <w:t>This indicates a label/constraint conflict rather than a masking implementation error and motivates escalation instead of forced low-support feasible substitution.</w:t>
      </w:r>
    </w:p>
    <w:p>
      <w:pPr>
        <w:pStyle w:val="Heading1"/>
      </w:pPr>
      <w:r>
        <w:t>9. Feasible Probability Mass and Threshold Sensitivity</w:t>
      </w:r>
    </w:p>
    <w:p>
      <w:r>
        <w:t>For each non-empty feasible set, feasible probability mass is the sum of the Selection Agent's probabilities assigned to strict-feasible classes. A low mass means that the classifier strongly prefers candidates rejected by the strict oracle.</w:t>
      </w:r>
    </w:p>
    <w:p>
      <w:r>
        <w:t>A held-out sensitivity sweep showed that raising the threshold could eliminate hard-mask correct→wrong substitutions, but this sweep was not used to select the final threshold because doing so would tune the policy on the test set.</w:t>
      </w:r>
    </w:p>
    <w:p>
      <w:pPr>
        <w:pStyle w:val="Heading1"/>
      </w:pPr>
      <w:r>
        <w:t>10. Training-Split Calibration Findings</w:t>
      </w:r>
    </w:p>
    <w:p>
      <w:pPr>
        <w:pStyle w:val="ListBullet"/>
      </w:pPr>
      <w:r>
        <w:t>Training rows aligned to R2 evidence: 840/840.</w:t>
      </w:r>
    </w:p>
    <w:p>
      <w:pPr>
        <w:pStyle w:val="ListBullet"/>
      </w:pPr>
      <w:r>
        <w:t>Candidate counts: 10 empty, 451 singleton, 221 two-candidate, 158 three-candidate.</w:t>
      </w:r>
    </w:p>
    <w:p>
      <w:pPr>
        <w:pStyle w:val="ListBullet"/>
      </w:pPr>
      <w:r>
        <w:t>In-sample training accuracy: 99.167%.</w:t>
      </w:r>
    </w:p>
    <w:p>
      <w:pPr>
        <w:pStyle w:val="ListBullet"/>
      </w:pPr>
      <w:r>
        <w:t>In-sample strict validity: 93.214%.</w:t>
      </w:r>
    </w:p>
    <w:p>
      <w:pPr>
        <w:pStyle w:val="ListBullet"/>
      </w:pPr>
      <w:r>
        <w:t>In-sample infeasible-selection rate: 6.786%.</w:t>
      </w:r>
    </w:p>
    <w:p>
      <w:pPr>
        <w:pStyle w:val="ListBullet"/>
      </w:pPr>
      <w:r>
        <w:t>In-sample 5th-percentile feasible-mass threshold: 0.289134087.</w:t>
      </w:r>
    </w:p>
    <w:p>
      <w:pPr>
        <w:pStyle w:val="Heading1"/>
      </w:pPr>
      <w:r>
        <w:t>11. Five-Fold Out-of-Fold Calibration</w:t>
      </w:r>
    </w:p>
    <w:p>
      <w:r>
        <w:t>To avoid relying on in-sample probabilities, R3 generated five-fold stratified out-of-fold probabilities on the 840-row training split using seed 42. Every calibration request was predicted by a fold-specific model that did not train on that request.</w:t>
      </w:r>
    </w:p>
    <w:p>
      <w:pPr>
        <w:pStyle w:val="ListBullet"/>
      </w:pPr>
      <w:r>
        <w:t>OOF accuracy: 92.619%.</w:t>
      </w:r>
    </w:p>
    <w:p>
      <w:pPr>
        <w:pStyle w:val="ListBullet"/>
      </w:pPr>
      <w:r>
        <w:t>OOF strict validity: 93.810%.</w:t>
      </w:r>
    </w:p>
    <w:p>
      <w:pPr>
        <w:pStyle w:val="ListBullet"/>
      </w:pPr>
      <w:r>
        <w:t>OOF infeasible-selection rate: 6.190%.</w:t>
      </w:r>
    </w:p>
    <w:p>
      <w:pPr>
        <w:pStyle w:val="ListBullet"/>
      </w:pPr>
      <w:r>
        <w:t>Non-empty OOF calibration rows: 830.</w:t>
      </w:r>
    </w:p>
    <w:p>
      <w:pPr>
        <w:pStyle w:val="ListBullet"/>
      </w:pPr>
      <w:r>
        <w:t>OOF 1st percentile mass: 0.010630183.</w:t>
      </w:r>
    </w:p>
    <w:p>
      <w:pPr>
        <w:pStyle w:val="ListBullet"/>
      </w:pPr>
      <w:r>
        <w:t>OOF 2.5th percentile mass: 0.045446331.</w:t>
      </w:r>
    </w:p>
    <w:p>
      <w:pPr>
        <w:pStyle w:val="ListBullet"/>
      </w:pPr>
      <w:r>
        <w:t>OOF 5th percentile mass: 0.548631599.</w:t>
      </w:r>
    </w:p>
    <w:p>
      <w:pPr>
        <w:pStyle w:val="ListBullet"/>
      </w:pPr>
      <w:r>
        <w:t>OOF 7.5th percentile mass: 0.864494368.</w:t>
      </w:r>
    </w:p>
    <w:p>
      <w:pPr>
        <w:pStyle w:val="ListBullet"/>
      </w:pPr>
      <w:r>
        <w:t>OOF 10th percentile mass: 0.915553663.</w:t>
      </w:r>
    </w:p>
    <w:p>
      <w:pPr>
        <w:pStyle w:val="ListBullet"/>
      </w:pPr>
      <w:r>
        <w:t>The OOF q05 was +0.259497512 above the in-sample q05, confirming that in-sample calibration was materially optimistic.</w:t>
      </w:r>
    </w:p>
    <w:p>
      <w:pPr>
        <w:pStyle w:val="Heading1"/>
      </w:pPr>
      <w:r>
        <w:t>12. Frozen Final Policy</w:t>
      </w:r>
    </w:p>
    <w:p>
      <w:r>
        <w:rPr>
          <w:b/>
        </w:rPr>
        <w:t xml:space="preserve">Frozen threshold τ: </w:t>
      </w:r>
      <w:r>
        <w:t>0.548631598726</w:t>
      </w:r>
    </w:p>
    <w:p>
      <w:r>
        <w:rPr>
          <w:b/>
        </w:rPr>
        <w:t xml:space="preserve">Policy SHA-256: </w:t>
      </w:r>
      <w:r>
        <w:t>9ebab1f743c71ee4fb3202976a6d9846b03391e256fbc095bd561c5adf831774</w:t>
      </w:r>
    </w:p>
    <w:p>
      <w:pPr>
        <w:pStyle w:val="ListBullet"/>
      </w:pPr>
      <w:r>
        <w:t>If the strict feasible set is empty: ESCALATE_EMPTY.</w:t>
      </w:r>
    </w:p>
    <w:p>
      <w:pPr>
        <w:pStyle w:val="ListBullet"/>
      </w:pPr>
      <w:r>
        <w:t>Otherwise compute total probability mass assigned to strict-feasible candidates.</w:t>
      </w:r>
    </w:p>
    <w:p>
      <w:pPr>
        <w:pStyle w:val="ListBullet"/>
      </w:pPr>
      <w:r>
        <w:t>If feasible probability mass &lt; τ: ESCALATE_LOW_FEASIBLE_MASS.</w:t>
      </w:r>
    </w:p>
    <w:p>
      <w:pPr>
        <w:pStyle w:val="ListBullet"/>
      </w:pPr>
      <w:r>
        <w:t>Otherwise execute STRICT_MASKED_ARGMAX.</w:t>
      </w:r>
    </w:p>
    <w:p>
      <w:pPr>
        <w:pStyle w:val="ListBullet"/>
      </w:pPr>
      <w:r>
        <w:t>The threshold was frozen before the final 360-row held-out evaluation.</w:t>
      </w:r>
    </w:p>
    <w:p>
      <w:pPr>
        <w:pStyle w:val="ListBullet"/>
      </w:pPr>
      <w:r>
        <w:t>No held-out test labels or test metrics were used to optimize the frozen threshold.</w:t>
      </w:r>
    </w:p>
    <w:p>
      <w:pPr>
        <w:pStyle w:val="Heading1"/>
      </w:pPr>
      <w:r>
        <w:t>13. Final Frozen Held-Out Results</w:t>
      </w:r>
    </w:p>
    <w:p>
      <w:pPr>
        <w:pStyle w:val="ListBullet"/>
      </w:pPr>
      <w:r>
        <w:t>Total held-out requests: 360.</w:t>
      </w:r>
    </w:p>
    <w:p>
      <w:pPr>
        <w:pStyle w:val="ListBullet"/>
      </w:pPr>
      <w:r>
        <w:t>Autonomous decisions: 341.</w:t>
      </w:r>
    </w:p>
    <w:p>
      <w:pPr>
        <w:pStyle w:val="ListBullet"/>
      </w:pPr>
      <w:r>
        <w:t>Escalated requests: 19.</w:t>
      </w:r>
    </w:p>
    <w:p>
      <w:pPr>
        <w:pStyle w:val="ListBullet"/>
      </w:pPr>
      <w:r>
        <w:t>Coverage: 94.722%.</w:t>
      </w:r>
    </w:p>
    <w:p>
      <w:pPr>
        <w:pStyle w:val="ListBullet"/>
      </w:pPr>
      <w:r>
        <w:t>Escalation rate: 5.278%.</w:t>
      </w:r>
    </w:p>
    <w:p>
      <w:pPr>
        <w:pStyle w:val="ListBullet"/>
      </w:pPr>
      <w:r>
        <w:t>Strict-empty escalations: 4.</w:t>
      </w:r>
    </w:p>
    <w:p>
      <w:pPr>
        <w:pStyle w:val="ListBullet"/>
      </w:pPr>
      <w:r>
        <w:t>Low-feasible-mass escalations: 15.</w:t>
      </w:r>
    </w:p>
    <w:p>
      <w:pPr>
        <w:pStyle w:val="ListBullet"/>
      </w:pPr>
      <w:r>
        <w:t>Autonomous strict violations: 0.</w:t>
      </w:r>
    </w:p>
    <w:p>
      <w:pPr>
        <w:pStyle w:val="ListBullet"/>
      </w:pPr>
      <w:r>
        <w:t>Autonomous strict validity: 100.000%.</w:t>
      </w:r>
    </w:p>
    <w:p>
      <w:pPr>
        <w:pStyle w:val="ListBullet"/>
      </w:pPr>
      <w:r>
        <w:t>Autonomous accuracy: 96.481%.</w:t>
      </w:r>
    </w:p>
    <w:p>
      <w:pPr>
        <w:pStyle w:val="ListBullet"/>
      </w:pPr>
      <w:r>
        <w:t>Autonomous macro-F1: 0.964820.</w:t>
      </w:r>
    </w:p>
    <w:p>
      <w:pPr>
        <w:pStyle w:val="ListBullet"/>
      </w:pPr>
      <w:r>
        <w:t>Correct autonomous decisions: 329/341.</w:t>
      </w:r>
    </w:p>
    <w:p>
      <w:pPr>
        <w:pStyle w:val="ListBullet"/>
      </w:pPr>
      <w:r>
        <w:t>Correct autonomous decisions over all 360 requests: 91.389%.</w:t>
      </w:r>
    </w:p>
    <w:p>
      <w:pPr>
        <w:pStyle w:val="ListBullet"/>
      </w:pPr>
      <w:r>
        <w:t>Truth-infeasible escalated: 17.</w:t>
      </w:r>
    </w:p>
    <w:p>
      <w:pPr>
        <w:pStyle w:val="ListBullet"/>
      </w:pPr>
      <w:r>
        <w:t>Truth-feasible escalated: 2.</w:t>
      </w:r>
    </w:p>
    <w:p>
      <w:pPr>
        <w:pStyle w:val="ListBullet"/>
      </w:pPr>
      <w:r>
        <w:t>Final autonomous correct→wrong transitions: 0.</w:t>
      </w:r>
    </w:p>
    <w:p>
      <w:pPr>
        <w:pStyle w:val="Heading1"/>
      </w:pPr>
      <w:r>
        <w:t>14. Final Decision Transitions</w:t>
      </w:r>
    </w:p>
    <w:tbl>
      <w:tblPr>
        <w:tblStyle w:val="TableGrid"/>
        <w:tblW w:type="auto" w:w="0"/>
        <w:jc w:val="center"/>
        <w:tblLook w:firstColumn="1" w:firstRow="1" w:lastColumn="0" w:lastRow="0" w:noHBand="0" w:noVBand="1" w:val="04A0"/>
      </w:tblPr>
      <w:tblGrid>
        <w:gridCol w:w="5040"/>
        <w:gridCol w:w="5040"/>
      </w:tblGrid>
      <w:tr>
        <w:tc>
          <w:tcPr>
            <w:tcW w:type="dxa" w:w="5040"/>
          </w:tcPr>
          <w:p>
            <w:r>
              <w:t>Transition</w:t>
            </w:r>
          </w:p>
        </w:tc>
        <w:tc>
          <w:tcPr>
            <w:tcW w:type="dxa" w:w="5040"/>
          </w:tcPr>
          <w:p>
            <w:r>
              <w:t>Count</w:t>
            </w:r>
          </w:p>
        </w:tc>
      </w:tr>
      <w:tr>
        <w:tc>
          <w:tcPr>
            <w:tcW w:type="dxa" w:w="5040"/>
          </w:tcPr>
          <w:p>
            <w:r>
              <w:t>correct→correct</w:t>
            </w:r>
          </w:p>
        </w:tc>
        <w:tc>
          <w:tcPr>
            <w:tcW w:type="dxa" w:w="5040"/>
          </w:tcPr>
          <w:p>
            <w:r>
              <w:t>329</w:t>
            </w:r>
          </w:p>
        </w:tc>
      </w:tr>
      <w:tr>
        <w:tc>
          <w:tcPr>
            <w:tcW w:type="dxa" w:w="5040"/>
          </w:tcPr>
          <w:p>
            <w:r>
              <w:t>correct→escalate</w:t>
            </w:r>
          </w:p>
        </w:tc>
        <w:tc>
          <w:tcPr>
            <w:tcW w:type="dxa" w:w="5040"/>
          </w:tcPr>
          <w:p>
            <w:r>
              <w:t>16</w:t>
            </w:r>
          </w:p>
        </w:tc>
      </w:tr>
      <w:tr>
        <w:tc>
          <w:tcPr>
            <w:tcW w:type="dxa" w:w="5040"/>
          </w:tcPr>
          <w:p>
            <w:r>
              <w:t>wrong→wrong</w:t>
            </w:r>
          </w:p>
        </w:tc>
        <w:tc>
          <w:tcPr>
            <w:tcW w:type="dxa" w:w="5040"/>
          </w:tcPr>
          <w:p>
            <w:r>
              <w:t>12</w:t>
            </w:r>
          </w:p>
        </w:tc>
      </w:tr>
      <w:tr>
        <w:tc>
          <w:tcPr>
            <w:tcW w:type="dxa" w:w="5040"/>
          </w:tcPr>
          <w:p>
            <w:r>
              <w:t>wrong→escalate</w:t>
            </w:r>
          </w:p>
        </w:tc>
        <w:tc>
          <w:tcPr>
            <w:tcW w:type="dxa" w:w="5040"/>
          </w:tcPr>
          <w:p>
            <w:r>
              <w:t>3</w:t>
            </w:r>
          </w:p>
        </w:tc>
      </w:tr>
      <w:tr>
        <w:tc>
          <w:tcPr>
            <w:tcW w:type="dxa" w:w="5040"/>
          </w:tcPr>
          <w:p>
            <w:r>
              <w:t>correct→wrong</w:t>
            </w:r>
          </w:p>
        </w:tc>
        <w:tc>
          <w:tcPr>
            <w:tcW w:type="dxa" w:w="5040"/>
          </w:tcPr>
          <w:p>
            <w:r>
              <w:t>0</w:t>
            </w:r>
          </w:p>
        </w:tc>
      </w:tr>
      <w:tr>
        <w:tc>
          <w:tcPr>
            <w:tcW w:type="dxa" w:w="5040"/>
          </w:tcPr>
          <w:p>
            <w:r>
              <w:t>wrong→correct</w:t>
            </w:r>
          </w:p>
        </w:tc>
        <w:tc>
          <w:tcPr>
            <w:tcW w:type="dxa" w:w="5040"/>
          </w:tcPr>
          <w:p>
            <w:r>
              <w:t>0</w:t>
            </w:r>
          </w:p>
        </w:tc>
      </w:tr>
    </w:tbl>
    <w:p>
      <w:pPr>
        <w:pStyle w:val="Heading1"/>
      </w:pPr>
      <w:r>
        <w:t>15. Final Three-System Comparison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System</w:t>
            </w:r>
          </w:p>
        </w:tc>
        <w:tc>
          <w:tcPr>
            <w:tcW w:type="dxa" w:w="2016"/>
          </w:tcPr>
          <w:p>
            <w:r>
              <w:t>Coverage</w:t>
            </w:r>
          </w:p>
        </w:tc>
        <w:tc>
          <w:tcPr>
            <w:tcW w:type="dxa" w:w="2016"/>
          </w:tcPr>
          <w:p>
            <w:r>
              <w:t>Escalation</w:t>
            </w:r>
          </w:p>
        </w:tc>
        <w:tc>
          <w:tcPr>
            <w:tcW w:type="dxa" w:w="2016"/>
          </w:tcPr>
          <w:p>
            <w:r>
              <w:t>Autonomous accuracy</w:t>
            </w:r>
          </w:p>
        </w:tc>
        <w:tc>
          <w:tcPr>
            <w:tcW w:type="dxa" w:w="2016"/>
          </w:tcPr>
          <w:p>
            <w:r>
              <w:t>Autonomous strict validity</w:t>
            </w:r>
          </w:p>
        </w:tc>
      </w:tr>
      <w:tr>
        <w:tc>
          <w:tcPr>
            <w:tcW w:type="dxa" w:w="2016"/>
          </w:tcPr>
          <w:p>
            <w:r>
              <w:t>Original Selection Agent</w:t>
            </w:r>
          </w:p>
        </w:tc>
        <w:tc>
          <w:tcPr>
            <w:tcW w:type="dxa" w:w="2016"/>
          </w:tcPr>
          <w:p>
            <w:r>
              <w:t>100.000%</w:t>
            </w:r>
          </w:p>
        </w:tc>
        <w:tc>
          <w:tcPr>
            <w:tcW w:type="dxa" w:w="2016"/>
          </w:tcPr>
          <w:p>
            <w:r>
              <w:t>0.000%</w:t>
            </w:r>
          </w:p>
        </w:tc>
        <w:tc>
          <w:tcPr>
            <w:tcW w:type="dxa" w:w="2016"/>
          </w:tcPr>
          <w:p>
            <w:r>
              <w:t>95.833%</w:t>
            </w:r>
          </w:p>
        </w:tc>
        <w:tc>
          <w:tcPr>
            <w:tcW w:type="dxa" w:w="2016"/>
          </w:tcPr>
          <w:p>
            <w:r>
              <w:t>94.722%</w:t>
            </w:r>
          </w:p>
        </w:tc>
      </w:tr>
      <w:tr>
        <w:tc>
          <w:tcPr>
            <w:tcW w:type="dxa" w:w="2016"/>
          </w:tcPr>
          <w:p>
            <w:r>
              <w:t>Strict-V2 Hard Mask</w:t>
            </w:r>
          </w:p>
        </w:tc>
        <w:tc>
          <w:tcPr>
            <w:tcW w:type="dxa" w:w="2016"/>
          </w:tcPr>
          <w:p>
            <w:r>
              <w:t>98.889%</w:t>
            </w:r>
          </w:p>
        </w:tc>
        <w:tc>
          <w:tcPr>
            <w:tcW w:type="dxa" w:w="2016"/>
          </w:tcPr>
          <w:p>
            <w:r>
              <w:t>1.111%</w:t>
            </w:r>
          </w:p>
        </w:tc>
        <w:tc>
          <w:tcPr>
            <w:tcW w:type="dxa" w:w="2016"/>
          </w:tcPr>
          <w:p>
            <w:r>
              <w:t>92.697%</w:t>
            </w:r>
          </w:p>
        </w:tc>
        <w:tc>
          <w:tcPr>
            <w:tcW w:type="dxa" w:w="2016"/>
          </w:tcPr>
          <w:p>
            <w:r>
              <w:t>100.000%</w:t>
            </w:r>
          </w:p>
        </w:tc>
      </w:tr>
      <w:tr>
        <w:tc>
          <w:tcPr>
            <w:tcW w:type="dxa" w:w="2016"/>
          </w:tcPr>
          <w:p>
            <w:r>
              <w:t>Strict-V2 + Frozen OOF Mass</w:t>
            </w:r>
          </w:p>
        </w:tc>
        <w:tc>
          <w:tcPr>
            <w:tcW w:type="dxa" w:w="2016"/>
          </w:tcPr>
          <w:p>
            <w:r>
              <w:t>94.722%</w:t>
            </w:r>
          </w:p>
        </w:tc>
        <w:tc>
          <w:tcPr>
            <w:tcW w:type="dxa" w:w="2016"/>
          </w:tcPr>
          <w:p>
            <w:r>
              <w:t>5.278%</w:t>
            </w:r>
          </w:p>
        </w:tc>
        <w:tc>
          <w:tcPr>
            <w:tcW w:type="dxa" w:w="2016"/>
          </w:tcPr>
          <w:p>
            <w:r>
              <w:t>96.481%</w:t>
            </w:r>
          </w:p>
        </w:tc>
        <w:tc>
          <w:tcPr>
            <w:tcW w:type="dxa" w:w="2016"/>
          </w:tcPr>
          <w:p>
            <w:r>
              <w:t>100.000%</w:t>
            </w:r>
          </w:p>
        </w:tc>
      </w:tr>
    </w:tbl>
    <w:p>
      <w:pPr>
        <w:pStyle w:val="Heading1"/>
      </w:pPr>
      <w:r>
        <w:t>16. Main Scientific Finding</w:t>
      </w:r>
    </w:p>
    <w:p>
      <w:r>
        <w:t>R3 demonstrates a safety-utility trade-off. Strict masking can guarantee constraint-valid autonomous actions, but unconditional hard masking can force low-support feasible alternatives when nominal labels and strict KPI constraints conflict. The OOF-calibrated selective policy instead escalates these uncertain safety conflicts. On the frozen held-out set it achieved 100% autonomous strict validity, 96.481% autonomous accuracy at 94.722% coverage, 5.278% escalation, and zero autonomous correct→wrong transitions.</w:t>
      </w:r>
    </w:p>
    <w:p>
      <w:pPr>
        <w:pStyle w:val="Heading1"/>
      </w:pPr>
      <w:r>
        <w:t>17. Correct Paper Interpretation</w:t>
      </w:r>
    </w:p>
    <w:p>
      <w:r>
        <w:t>The R3 result must not be described as improving overall 360-request classification accuracy. The defensible claim is that R3 provides safe selective autonomy: high-support, constraint-valid decisions are executed autonomously, while empty or low-feasible-mass decisions are escalated. The 96.481% figure is accuracy among the 341 autonomous decisions, not accuracy over all 360 requests.</w:t>
      </w:r>
    </w:p>
    <w:p>
      <w:r>
        <w:t>For complete reporting, autonomous accuracy must always be accompanied by coverage, escalation rate, strict validity, and the correct-autonomous-over-total fraction (91.389%).</w:t>
      </w:r>
    </w:p>
    <w:p>
      <w:pPr>
        <w:pStyle w:val="Heading1"/>
      </w:pPr>
      <w:r>
        <w:t>18. Limitations</w:t>
      </w:r>
    </w:p>
    <w:p>
      <w:pPr>
        <w:pStyle w:val="ListBullet"/>
      </w:pPr>
      <w:r>
        <w:t>The final policy intentionally trades coverage for safety and selective accuracy.</w:t>
      </w:r>
    </w:p>
    <w:p>
      <w:pPr>
        <w:pStyle w:val="ListBullet"/>
      </w:pPr>
      <w:r>
        <w:t>Escalated requests are abstentions and are not counted as autonomous classification successes.</w:t>
      </w:r>
    </w:p>
    <w:p>
      <w:pPr>
        <w:pStyle w:val="ListBullet"/>
      </w:pPr>
      <w:r>
        <w:t>The experiment demonstrates a controlled 360-request Selection-Agent evaluation; it should not be overstated as a complete production deployment study.</w:t>
      </w:r>
    </w:p>
    <w:p>
      <w:pPr>
        <w:pStyle w:val="ListBullet"/>
      </w:pPr>
      <w:r>
        <w:t>Any future threshold sensitivity analysis must remain post-hoc and must not replace the frozen primary operating point.</w:t>
      </w:r>
    </w:p>
    <w:p>
      <w:pPr>
        <w:pStyle w:val="Heading1"/>
      </w:pPr>
      <w:r>
        <w:t>19. Final Evidence Hashes</w:t>
      </w:r>
    </w:p>
    <w:tbl>
      <w:tblPr>
        <w:tblStyle w:val="TableGrid"/>
        <w:tblW w:type="auto" w:w="0"/>
        <w:tblLook w:firstColumn="1" w:firstRow="1" w:lastColumn="0" w:lastRow="0" w:noHBand="0" w:noVBand="1" w:val="04A0"/>
      </w:tblPr>
      <w:tblGrid>
        <w:gridCol w:w="5040"/>
        <w:gridCol w:w="5040"/>
      </w:tblGrid>
      <w:tr>
        <w:tc>
          <w:tcPr>
            <w:tcW w:type="dxa" w:w="5040"/>
          </w:tcPr>
          <w:p>
            <w:r>
              <w:t>Artifact</w:t>
            </w:r>
          </w:p>
        </w:tc>
        <w:tc>
          <w:tcPr>
            <w:tcW w:type="dxa" w:w="5040"/>
          </w:tcPr>
          <w:p>
            <w:r>
              <w:t>SHA-256</w:t>
            </w:r>
          </w:p>
        </w:tc>
      </w:tr>
      <w:tr>
        <w:tc>
          <w:tcPr>
            <w:tcW w:type="dxa" w:w="5040"/>
          </w:tcPr>
          <w:p>
            <w:r>
              <w:t>R3_frozen_oof_mass_policy.json</w:t>
            </w:r>
          </w:p>
        </w:tc>
        <w:tc>
          <w:tcPr>
            <w:tcW w:type="dxa" w:w="5040"/>
          </w:tcPr>
          <w:p>
            <w:r>
              <w:t>9ebab1f743c71ee4fb3202976a6d9846b03391e256fbc095bd561c5adf831774</w:t>
            </w:r>
          </w:p>
        </w:tc>
      </w:tr>
      <w:tr>
        <w:tc>
          <w:tcPr>
            <w:tcW w:type="dxa" w:w="5040"/>
          </w:tcPr>
          <w:p>
            <w:r>
              <w:t>R3_final_frozen_policy_heldout_decisions.csv</w:t>
            </w:r>
          </w:p>
        </w:tc>
        <w:tc>
          <w:tcPr>
            <w:tcW w:type="dxa" w:w="5040"/>
          </w:tcPr>
          <w:p>
            <w:r>
              <w:t>ef90d7c74c024d5fe77c41e385032d0649046ec2768d4910477d04ff2b28ecd6</w:t>
            </w:r>
          </w:p>
        </w:tc>
      </w:tr>
      <w:tr>
        <w:tc>
          <w:tcPr>
            <w:tcW w:type="dxa" w:w="5040"/>
          </w:tcPr>
          <w:p>
            <w:r>
              <w:t>R3_final_system_comparison.csv</w:t>
            </w:r>
          </w:p>
        </w:tc>
        <w:tc>
          <w:tcPr>
            <w:tcW w:type="dxa" w:w="5040"/>
          </w:tcPr>
          <w:p>
            <w:r>
              <w:t>2068902355aa0b3e77ce0b062097b2b1102517f463238737234ab4c989226875</w:t>
            </w:r>
          </w:p>
        </w:tc>
      </w:tr>
      <w:tr>
        <w:tc>
          <w:tcPr>
            <w:tcW w:type="dxa" w:w="5040"/>
          </w:tcPr>
          <w:p>
            <w:r>
              <w:t>R3_final_frozen_policy_summary.json</w:t>
            </w:r>
          </w:p>
        </w:tc>
        <w:tc>
          <w:tcPr>
            <w:tcW w:type="dxa" w:w="5040"/>
          </w:tcPr>
          <w:p>
            <w:r>
              <w:t>c9bbdd620429fc93afb4b7f16c5232a34d9e83500ba5519cb2c93977329de52d</w:t>
            </w:r>
          </w:p>
        </w:tc>
      </w:tr>
      <w:tr>
        <w:tc>
          <w:tcPr>
            <w:tcW w:type="dxa" w:w="5040"/>
          </w:tcPr>
          <w:p>
            <w:r>
              <w:t>R3_oof_training_calibration_rows.csv</w:t>
            </w:r>
          </w:p>
        </w:tc>
        <w:tc>
          <w:tcPr>
            <w:tcW w:type="dxa" w:w="5040"/>
          </w:tcPr>
          <w:p>
            <w:r>
              <w:t>2c6f8bb8b3f3e45b9f5e5a0dfa91140e3bfb2dd27061e929f479cad2354eaa16</w:t>
            </w:r>
          </w:p>
        </w:tc>
      </w:tr>
      <w:tr>
        <w:tc>
          <w:tcPr>
            <w:tcW w:type="dxa" w:w="5040"/>
          </w:tcPr>
          <w:p>
            <w:r>
              <w:t>R3_oof_feasible_mass_quantiles.csv</w:t>
            </w:r>
          </w:p>
        </w:tc>
        <w:tc>
          <w:tcPr>
            <w:tcW w:type="dxa" w:w="5040"/>
          </w:tcPr>
          <w:p>
            <w:r>
              <w:t>d347d3f4350a59dca156f3ce63d921379f893d19924f96a717fa425c9c4df8c2</w:t>
            </w:r>
          </w:p>
        </w:tc>
      </w:tr>
      <w:tr>
        <w:tc>
          <w:tcPr>
            <w:tcW w:type="dxa" w:w="5040"/>
          </w:tcPr>
          <w:p>
            <w:r>
              <w:t>Final R3 ZIP</w:t>
            </w:r>
          </w:p>
        </w:tc>
        <w:tc>
          <w:tcPr>
            <w:tcW w:type="dxa" w:w="5040"/>
          </w:tcPr>
          <w:p>
            <w:r>
              <w:t>ba0f680c372ddda498eba2f8b84f5df9a599dc04810a679b53ce77af6fce0152</w:t>
            </w:r>
          </w:p>
        </w:tc>
      </w:tr>
    </w:tbl>
    <w:p>
      <w:pPr>
        <w:pStyle w:val="Heading1"/>
      </w:pPr>
      <w:r>
        <w:t>20. R3 Close-Out Procedure</w:t>
      </w:r>
    </w:p>
    <w:p>
      <w:r>
        <w:t>The frozen ZIP must not be recreated or modified. Download the exact verified archive from Colab.</w:t>
      </w:r>
    </w:p>
    <w:p>
      <w:pPr>
        <w:pStyle w:val="Heading2"/>
      </w:pPr>
      <w:r>
        <w:t>20.1 Colab final verification</w:t>
      </w:r>
    </w:p>
    <w:p>
      <w:r>
        <w:t>ZIP = "/content/XAgentic_R3_Candidate_Masking_FINAL_2026-10-07.zip"</w:t>
        <w:br/>
        <w:t>Expected size: 329,177 bytes</w:t>
        <w:br/>
        <w:t>Expected members: 30</w:t>
        <w:br/>
        <w:t>Expected SHA-256:</w:t>
        <w:br/>
        <w:t>ba0f680c372ddda498eba2f8b84f5df9a599dc04810a679b53ce77af6fce0152</w:t>
      </w:r>
    </w:p>
    <w:p>
      <w:pPr>
        <w:pStyle w:val="Heading2"/>
      </w:pPr>
      <w:r>
        <w:t>20.2 Colab download command</w:t>
      </w:r>
    </w:p>
    <w:p>
      <w:r>
        <w:t>from google.colab import files</w:t>
        <w:br/>
        <w:t>files.download("/content/XAgentic_R3_Candidate_Masking_FINAL_2026-10-07.zip")</w:t>
      </w:r>
    </w:p>
    <w:p>
      <w:pPr>
        <w:pStyle w:val="Heading2"/>
      </w:pPr>
      <w:r>
        <w:t>20.3 Windows verification</w:t>
      </w:r>
    </w:p>
    <w:p>
      <w:r>
        <w:t>certutil -hashfile XAgentic_R3_Candidate_Masking_FINAL_2026-10-07.zip SHA256</w:t>
      </w:r>
    </w:p>
    <w:p>
      <w:r>
        <w:t>The Windows result must equal: ba0f680c372ddda498eba2f8b84f5df9a599dc04810a679b53ce77af6fce0152</w:t>
      </w:r>
    </w:p>
    <w:p>
      <w:pPr>
        <w:pStyle w:val="Heading2"/>
      </w:pPr>
      <w:r>
        <w:t>20.4 Storage recommendation</w:t>
      </w:r>
    </w:p>
    <w:p>
      <w:r>
        <w:t>Keep the original R3 ZIP unchanged in a dedicated R3 folder alongside the frozen R1 and R2 packages. If files need to be inspected, extract a separate working copy; do not modify and rezip the master archive.</w:t>
      </w:r>
    </w:p>
    <w:p>
      <w:pPr>
        <w:pStyle w:val="Heading1"/>
      </w:pPr>
      <w:r>
        <w:t>21. Final Experiment Status</w:t>
      </w:r>
    </w:p>
    <w:p>
      <w:pPr>
        <w:pStyle w:val="ListBullet"/>
      </w:pPr>
      <w:r>
        <w:t>R1 — COMPLETE / FROZEN.</w:t>
      </w:r>
    </w:p>
    <w:p>
      <w:pPr>
        <w:pStyle w:val="ListBullet"/>
      </w:pPr>
      <w:r>
        <w:t>R2 — COMPLETE / FROZEN.</w:t>
      </w:r>
    </w:p>
    <w:p>
      <w:pPr>
        <w:pStyle w:val="ListBullet"/>
      </w:pPr>
      <w:r>
        <w:t>R3 — COMPLETE / FROZEN.</w:t>
      </w:r>
    </w:p>
    <w:p>
      <w:pPr>
        <w:pStyle w:val="ListBullet"/>
      </w:pPr>
      <w:r>
        <w:t>R3 requires no additional experimental tests at this stage.</w:t>
      </w:r>
    </w:p>
    <w:p>
      <w:pPr>
        <w:pStyle w:val="ListBullet"/>
      </w:pPr>
      <w:r>
        <w:t>Start R4 in a new Colab workspace and preferably a new chat, without modifying the R3 frozen evidence.</w:t>
      </w:r>
    </w:p>
    <w:p>
      <w:pPr>
        <w:pStyle w:val="Heading1"/>
      </w:pPr>
      <w:r>
        <w:t>22. Recommended Paper-Ready Summary</w:t>
      </w:r>
    </w:p>
    <w:p>
      <w:r>
        <w:t>Strict candidate masking eliminated infeasible autonomous slice selections but unconditional masking reduced selective accuracy by forcing low-support feasible alternatives in label/constraint-conflict cases. Using five-fold out-of-fold training predictions, R3 froze a feasible-probability-mass escalation threshold of 0.548631598726 before held-out evaluation. On 360 frozen test requests, the final selective policy executed 341 requests autonomously (94.722% coverage), escalated 19 (5.278%), achieved 96.481% accuracy among autonomous decisions and 100% autonomous strict validity, and produced zero autonomous correct-to-wrong transitions. The result supports constraint-aware selective autonomy rather than unconditional hard masking.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R3 Candidate Masking — Frozen Experiment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