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R5 — Frozen Semantic Verification</w:t>
      </w:r>
    </w:p>
    <w:p>
      <w:r>
        <w:t>Two-page research summary | Explainable agentic AI for 5G/6G network-slicing intent interpretation</w:t>
      </w:r>
    </w:p>
    <w:p>
      <w:pPr>
        <w:pStyle w:val="Heading1"/>
      </w:pPr>
      <w:r>
        <w:t>1. Central R5 research question</w:t>
      </w:r>
    </w:p>
    <w:p>
      <w:r>
        <w:t>Can a development-calibrated, frozen semantic verification layer identify incorrect autonomous network-slicing intent predictions that survive R3 feasibility-aware candidate masking and R4 selective escalation, while quantifying the resulting trade-off between residual error risk and autonomous coverage?</w:t>
      </w:r>
    </w:p>
    <w:p>
      <w:r>
        <w:t>R5 is an assurance layer, not a replacement classifier: it reviews only decisions R4 would otherwise accept autonomously, escalating semantically unsupported decisions for further handling.</w:t>
      </w:r>
    </w:p>
    <w:p>
      <w:pPr>
        <w:pStyle w:val="Heading1"/>
      </w:pPr>
      <w:r>
        <w:t>2. Steps performed</w:t>
      </w:r>
    </w:p>
    <w:p>
      <w:r>
        <w:t>• Constructed a semantic support signal using TF-IDF text representations (word 1–2 grams, min_df=2, max_df=0.98, sublinear TF, L2 normalization) and full-development class prototypes; training used development text only.</w:t>
      </w:r>
    </w:p>
    <w:p>
      <w:r>
        <w:t>• Assessed the development-only semantic signal, including out-of-fold diagnostics, semantic disagreement and residual-error enrichment. The development signal yielded an error-detection AUC of 0.823 (diagnostic, not held-out performance).</w:t>
      </w:r>
    </w:p>
    <w:p>
      <w:r>
        <w:t>• Calibrated the verification rule exclusively on development cases, choosing a conservative support-margin cutoff of −0.0275677986595984, and froze the policy before held-out inspection.</w:t>
      </w:r>
    </w:p>
    <w:p>
      <w:r>
        <w:t>• Applied the frozen rule only to 306 R4-autonomous held-out decisions; previously escalated R4 cases were excluded from semantic scoring. Evaluated outcomes without held-out retuning.</w:t>
      </w:r>
    </w:p>
    <w:p>
      <w:r>
        <w:t>• Performed frozen R3/R4/R5 comparisons, category-wise audits, inspection of all five R4 residual errors, threshold-proximity descriptions and 10,000 paired bootstrap resamples (seed 42). Archived SHA256-verified evidence.</w:t>
      </w:r>
    </w:p>
    <w:p>
      <w:pPr>
        <w:pStyle w:val="Heading1"/>
      </w:pPr>
      <w:r>
        <w:t>3. Training/test data and final inference</w:t>
      </w:r>
    </w:p>
    <w:p>
      <w:r>
        <w:t>Development: 840 intent examples; held-out test: 360 examples; zero development/test ID overlap. The semantic vectorizer and class prototypes were fitted on development data only (1,786 TF-IDF features; 280 development examples per service class). The held-out set contains known, unseen and generic intent formulations. The policy threshold was frozen before the 360-case test and was never adjusted afterward.</w:t>
      </w:r>
    </w:p>
    <w:p>
      <w:r>
        <w:t>Final inference: after R4, 306/360 cases were autonomous (301 correct; 5 incorrect). R5 escalated 26 of those 306: it captured 3 errors but also escalated 23 correct cases. The final system autonomously accepted 280 cases (278 correct, 2 incorrect), with 77.78% coverage, 99.29% autonomous accuracy and 0.714% selective risk. Escalated cases are not counted as correct autonomous predictions.</w:t>
      </w:r>
    </w:p>
    <w:p>
      <w:r>
        <w:br w:type="page"/>
      </w:r>
    </w:p>
    <w:p>
      <w:pPr>
        <w:pStyle w:val="Heading1"/>
      </w:pPr>
      <w:r>
        <w:t>4. Evidence supporting the results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</w:tcPr>
          <w:p>
            <w:r>
              <w:t>Frozen system</w:t>
            </w:r>
          </w:p>
        </w:tc>
        <w:tc>
          <w:tcPr>
            <w:tcW w:type="dxa" w:w="2498"/>
          </w:tcPr>
          <w:p>
            <w:r>
              <w:t>Autonomous</w:t>
            </w:r>
          </w:p>
        </w:tc>
        <w:tc>
          <w:tcPr>
            <w:tcW w:type="dxa" w:w="2498"/>
          </w:tcPr>
          <w:p>
            <w:r>
              <w:t>Errors</w:t>
            </w:r>
          </w:p>
        </w:tc>
        <w:tc>
          <w:tcPr>
            <w:tcW w:type="dxa" w:w="2498"/>
          </w:tcPr>
          <w:p>
            <w:r>
              <w:t>Coverage / risk</w:t>
            </w:r>
          </w:p>
        </w:tc>
      </w:tr>
      <w:tr>
        <w:tc>
          <w:tcPr>
            <w:tcW w:type="dxa" w:w="2498"/>
          </w:tcPr>
          <w:p>
            <w:r>
              <w:t>R3</w:t>
            </w:r>
          </w:p>
        </w:tc>
        <w:tc>
          <w:tcPr>
            <w:tcW w:type="dxa" w:w="2498"/>
          </w:tcPr>
          <w:p>
            <w:r>
              <w:t>341</w:t>
            </w:r>
          </w:p>
        </w:tc>
        <w:tc>
          <w:tcPr>
            <w:tcW w:type="dxa" w:w="2498"/>
          </w:tcPr>
          <w:p>
            <w:r>
              <w:t>12</w:t>
            </w:r>
          </w:p>
        </w:tc>
        <w:tc>
          <w:tcPr>
            <w:tcW w:type="dxa" w:w="2498"/>
          </w:tcPr>
          <w:p>
            <w:r>
              <w:t>94.72% / 3.52%</w:t>
            </w:r>
          </w:p>
        </w:tc>
      </w:tr>
      <w:tr>
        <w:tc>
          <w:tcPr>
            <w:tcW w:type="dxa" w:w="2498"/>
          </w:tcPr>
          <w:p>
            <w:r>
              <w:t>R4</w:t>
            </w:r>
          </w:p>
        </w:tc>
        <w:tc>
          <w:tcPr>
            <w:tcW w:type="dxa" w:w="2498"/>
          </w:tcPr>
          <w:p>
            <w:r>
              <w:t>306</w:t>
            </w:r>
          </w:p>
        </w:tc>
        <w:tc>
          <w:tcPr>
            <w:tcW w:type="dxa" w:w="2498"/>
          </w:tcPr>
          <w:p>
            <w:r>
              <w:t>5</w:t>
            </w:r>
          </w:p>
        </w:tc>
        <w:tc>
          <w:tcPr>
            <w:tcW w:type="dxa" w:w="2498"/>
          </w:tcPr>
          <w:p>
            <w:r>
              <w:t>85.00% / 1.63%</w:t>
            </w:r>
          </w:p>
        </w:tc>
      </w:tr>
      <w:tr>
        <w:tc>
          <w:tcPr>
            <w:tcW w:type="dxa" w:w="2498"/>
          </w:tcPr>
          <w:p>
            <w:r>
              <w:t>R4 + R5</w:t>
            </w:r>
          </w:p>
        </w:tc>
        <w:tc>
          <w:tcPr>
            <w:tcW w:type="dxa" w:w="2498"/>
          </w:tcPr>
          <w:p>
            <w:r>
              <w:t>280</w:t>
            </w:r>
          </w:p>
        </w:tc>
        <w:tc>
          <w:tcPr>
            <w:tcW w:type="dxa" w:w="2498"/>
          </w:tcPr>
          <w:p>
            <w:r>
              <w:t>2</w:t>
            </w:r>
          </w:p>
        </w:tc>
        <w:tc>
          <w:tcPr>
            <w:tcW w:type="dxa" w:w="2498"/>
          </w:tcPr>
          <w:p>
            <w:r>
              <w:t>77.78% / 0.71%</w:t>
            </w:r>
          </w:p>
        </w:tc>
      </w:tr>
    </w:tbl>
    <w:p>
      <w:r>
        <w:t>Relative selective-risk reduction: R5 versus R4 = 56.29%; R5 versus R3 = 79.70%. R4-to-R5 coverage declines by 7.22 percentage points. These are observed test-set differences, not claims of statistically proven superiority.</w:t>
      </w:r>
    </w:p>
    <w:p>
      <w:r>
        <w:t>Category audit (R4-autonomous cases): generic 88, with 1/1 error captured but 23 correct escalations; known 123, with no errors or escalations; unseen 95, with 2/4 errors captured and no correct escalations. The two missed unseen errors are IDs 658 and 810; captured errors are IDs 1197, 240 and 769.</w:t>
      </w:r>
    </w:p>
    <w:p>
      <w:r>
        <w:t>Paired bootstrap (10,000 resamples, seed 42): absolute R4-to-R5 selective-risk reduction = 0.920 percentage points, 95% percentile interval −0.053 to 2.184 percentage points. Coverage cost = 7.222 percentage points, interval 4.722 to 10.000. Because the risk-reduction interval includes zero, the improvement is not statistically conclusive at the 95% level.</w:t>
      </w:r>
    </w:p>
    <w:p>
      <w:r>
        <w:t>Audit trail: frozen policy SHA256 b8e5ef13e6895fcfb3656f7257c94727e3cea17d38f08563436d55b6cf0ba243; final ZIP XAgentic_R5_FINAL_EVIDENCE.zip (93 files), SHA256 29349a6717f9a89dcfdb957c6c91d8df640de1cb57a1ffa7f91e252dfc24cdb6, independently matched after Windows download. Evidence includes frozen decisions, system comparison, category and error audits, bootstrap intervals, and final findings.</w:t>
      </w:r>
    </w:p>
    <w:p>
      <w:pPr>
        <w:pStyle w:val="Heading1"/>
      </w:pPr>
      <w:r>
        <w:t>5. What unknowns were investigated, and future directions</w:t>
      </w:r>
    </w:p>
    <w:p>
      <w:r>
        <w:t>The central unknown was whether a second, semantic assurance signal would expose mistakes that a feasibility and uncertainty-aware pipeline still accepted. R5 established that 3/5 residual R4 errors were detectable with a frozen semantic margin. It also identified where assurance is costly: all 23 false escalations were generic intents, while two unseen errors remained above the frozen cutoff. This isolates both a promising complementarity and a clear failure mode.</w:t>
      </w:r>
    </w:p>
    <w:p>
      <w:r>
        <w:t>Open questions: Does the effect persist on independently collected intents and larger residual-error samples? Can generic-intent false escalations be reduced without sacrificing unseen-error capture? What is the end-to-end latency, cost and operational impact of escalation? How does the verifier behave under domain drift, multilingual phrasing, novel service intents and live orchestration constraints?</w:t>
      </w:r>
    </w:p>
    <w:p>
      <w:r>
        <w:t>Future experiments should predefine category-aware or hybrid verification on development data, then test it on a fresh untouched holdout; expand datasets and error counts; report calibrated risk–coverage curves, uncertainty and subgroup results; and validate runtime integration with network-slicing orchestration. The existing R5 threshold and evidence must remain frozen.</w:t>
      </w:r>
    </w:p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R5 research summary | Frozen held-out evaluation |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43A5E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143A5E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