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R5: High-Confidence Error Detection — Experiment Summary</w:t>
      </w:r>
    </w:p>
    <w:p>
      <w:pPr>
        <w:pStyle w:val="Subtitle"/>
      </w:pPr>
      <w:r>
        <w:t>Frozen semantic verification after R4 selective escalation | 360-case held-out evaluation</w:t>
      </w:r>
    </w:p>
    <w:p>
      <w:pPr>
        <w:pStyle w:val="Heading1"/>
      </w:pPr>
      <w:r>
        <w:t>1. Central research question</w:t>
      </w:r>
    </w:p>
    <w:p>
      <w:r>
        <w:t>Can a development-calibrated, frozen semantic verification layer identify high-confidence yet incorrect network-slicing intent decisions that remain autonomous after R4, without an unacceptable loss of correct autonomous coverage? R5 tests whether semantic disagreement/support offers complementary evidence beyond R3 feasibility masking and R4 uncertainty escalation. “High confidence” refers to errors surviving earlier selective safeguards; R5 is a verifier, not a new intent classifier.</w:t>
      </w:r>
    </w:p>
    <w:p>
      <w:pPr>
        <w:pStyle w:val="Heading1"/>
      </w:pPr>
      <w:r>
        <w:t>2. Experimental procedure</w:t>
      </w:r>
    </w:p>
    <w:p>
      <w:r>
        <w:t>(i) Recovered and audited frozen R3/R4 evidence and the development/held-out split. (ii) Constructed a semantic signal using TF-IDF text representations and class prototypes, fitted exclusively on development data. (iii) Evaluated the signal on development data, including out-of-fold analysis. (iv) Selected a development-only support-margin threshold, froze the verifier policy and recorded its SHA256. (v) Applied R5 only to R4-autonomous held-out cases, without changing R3/R4 outputs. (vi) Compared frozen R3, R4 and R5 decisions, audited captured/missed errors by intent type and threshold proximity, and ran 10,000 paired bootstrap resamples. (vii) Archived the final evidence, manifest and findings; no held-out retuning occurred.</w:t>
      </w:r>
    </w:p>
    <w:p>
      <w:pPr>
        <w:pStyle w:val="Heading1"/>
      </w:pPr>
      <w:r>
        <w:t>3. Data, calibration and inference</w:t>
      </w:r>
    </w:p>
    <w:p>
      <w:r>
        <w:t>Development: 840 cases; held-out test: 360 distinct cases (zero ID overlap). Text features: TF-IDF unigrams/bigrams, min_df=2, max_df=0.98, sublinear TF and L2 normalization; 1,786 features, with full-development class prototypes (280/class). The semantic verifier was calibrated using development cases only. Frozen semantic support threshold: -0.0275677986595984. At inference, R4 first determines whether to escalate; only its 306 autonomous cases are checked by R5. R5 escalates cases whose semantic support margin breaches the frozen rule; otherwise the prior decision remains autonomous. This process does not retrain the classifier or correct its predicted class.</w:t>
      </w:r>
    </w:p>
    <w:p>
      <w:pPr>
        <w:pStyle w:val="Heading1"/>
      </w:pPr>
      <w:r>
        <w:t>4. Quantitative evidence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Measure</w:t>
            </w:r>
          </w:p>
        </w:tc>
        <w:tc>
          <w:tcPr>
            <w:tcW w:type="dxa" w:w="2484"/>
          </w:tcPr>
          <w:p>
            <w:r>
              <w:t>Frozen R3</w:t>
            </w:r>
          </w:p>
        </w:tc>
        <w:tc>
          <w:tcPr>
            <w:tcW w:type="dxa" w:w="2484"/>
          </w:tcPr>
          <w:p>
            <w:r>
              <w:t>Frozen R4</w:t>
            </w:r>
          </w:p>
        </w:tc>
        <w:tc>
          <w:tcPr>
            <w:tcW w:type="dxa" w:w="2484"/>
          </w:tcPr>
          <w:p>
            <w:r>
              <w:t>Frozen R5</w:t>
            </w:r>
          </w:p>
        </w:tc>
      </w:tr>
      <w:tr>
        <w:tc>
          <w:tcPr>
            <w:tcW w:type="dxa" w:w="2484"/>
          </w:tcPr>
          <w:p>
            <w:r>
              <w:t>Autonomous / escalated</w:t>
            </w:r>
          </w:p>
        </w:tc>
        <w:tc>
          <w:tcPr>
            <w:tcW w:type="dxa" w:w="2484"/>
          </w:tcPr>
          <w:p>
            <w:r>
              <w:t>341 / 19</w:t>
            </w:r>
          </w:p>
        </w:tc>
        <w:tc>
          <w:tcPr>
            <w:tcW w:type="dxa" w:w="2484"/>
          </w:tcPr>
          <w:p>
            <w:r>
              <w:t>306 / 54</w:t>
            </w:r>
          </w:p>
        </w:tc>
        <w:tc>
          <w:tcPr>
            <w:tcW w:type="dxa" w:w="2484"/>
          </w:tcPr>
          <w:p>
            <w:r>
              <w:t>280 / 80</w:t>
            </w:r>
          </w:p>
        </w:tc>
      </w:tr>
      <w:tr>
        <w:tc>
          <w:tcPr>
            <w:tcW w:type="dxa" w:w="2484"/>
          </w:tcPr>
          <w:p>
            <w:r>
              <w:t>Correct / erroneous autonomous</w:t>
            </w:r>
          </w:p>
        </w:tc>
        <w:tc>
          <w:tcPr>
            <w:tcW w:type="dxa" w:w="2484"/>
          </w:tcPr>
          <w:p>
            <w:r>
              <w:t>329 / 12</w:t>
            </w:r>
          </w:p>
        </w:tc>
        <w:tc>
          <w:tcPr>
            <w:tcW w:type="dxa" w:w="2484"/>
          </w:tcPr>
          <w:p>
            <w:r>
              <w:t>301 / 5</w:t>
            </w:r>
          </w:p>
        </w:tc>
        <w:tc>
          <w:tcPr>
            <w:tcW w:type="dxa" w:w="2484"/>
          </w:tcPr>
          <w:p>
            <w:r>
              <w:t>278 / 2</w:t>
            </w:r>
          </w:p>
        </w:tc>
      </w:tr>
      <w:tr>
        <w:tc>
          <w:tcPr>
            <w:tcW w:type="dxa" w:w="2484"/>
          </w:tcPr>
          <w:p>
            <w:r>
              <w:t>Coverage</w:t>
            </w:r>
          </w:p>
        </w:tc>
        <w:tc>
          <w:tcPr>
            <w:tcW w:type="dxa" w:w="2484"/>
          </w:tcPr>
          <w:p>
            <w:r>
              <w:t>94.72%</w:t>
            </w:r>
          </w:p>
        </w:tc>
        <w:tc>
          <w:tcPr>
            <w:tcW w:type="dxa" w:w="2484"/>
          </w:tcPr>
          <w:p>
            <w:r>
              <w:t>85.00%</w:t>
            </w:r>
          </w:p>
        </w:tc>
        <w:tc>
          <w:tcPr>
            <w:tcW w:type="dxa" w:w="2484"/>
          </w:tcPr>
          <w:p>
            <w:r>
              <w:t>77.78%</w:t>
            </w:r>
          </w:p>
        </w:tc>
      </w:tr>
      <w:tr>
        <w:tc>
          <w:tcPr>
            <w:tcW w:type="dxa" w:w="2484"/>
          </w:tcPr>
          <w:p>
            <w:r>
              <w:t>Autonomous accuracy</w:t>
            </w:r>
          </w:p>
        </w:tc>
        <w:tc>
          <w:tcPr>
            <w:tcW w:type="dxa" w:w="2484"/>
          </w:tcPr>
          <w:p>
            <w:r>
              <w:t>96.48%</w:t>
            </w:r>
          </w:p>
        </w:tc>
        <w:tc>
          <w:tcPr>
            <w:tcW w:type="dxa" w:w="2484"/>
          </w:tcPr>
          <w:p>
            <w:r>
              <w:t>98.37%</w:t>
            </w:r>
          </w:p>
        </w:tc>
        <w:tc>
          <w:tcPr>
            <w:tcW w:type="dxa" w:w="2484"/>
          </w:tcPr>
          <w:p>
            <w:r>
              <w:t>99.29%</w:t>
            </w:r>
          </w:p>
        </w:tc>
      </w:tr>
      <w:tr>
        <w:tc>
          <w:tcPr>
            <w:tcW w:type="dxa" w:w="2484"/>
          </w:tcPr>
          <w:p>
            <w:r>
              <w:t>Selective risk</w:t>
            </w:r>
          </w:p>
        </w:tc>
        <w:tc>
          <w:tcPr>
            <w:tcW w:type="dxa" w:w="2484"/>
          </w:tcPr>
          <w:p>
            <w:r>
              <w:t>3.52%</w:t>
            </w:r>
          </w:p>
        </w:tc>
        <w:tc>
          <w:tcPr>
            <w:tcW w:type="dxa" w:w="2484"/>
          </w:tcPr>
          <w:p>
            <w:r>
              <w:t>1.63%</w:t>
            </w:r>
          </w:p>
        </w:tc>
        <w:tc>
          <w:tcPr>
            <w:tcW w:type="dxa" w:w="2484"/>
          </w:tcPr>
          <w:p>
            <w:r>
              <w:t>0.71%</w:t>
            </w:r>
          </w:p>
        </w:tc>
      </w:tr>
    </w:tbl>
    <w:p>
      <w:r>
        <w:t>R5 escalated 26 additional R4-autonomous cases: 3 were errors (60% of the five residual R4 errors) and 23 were correct. The observed R4-to-R5 selective-risk reduction was 56.29% relative (0.920 percentage points absolute), with a 7.22-point coverage cost. Relative to R3, observed selective risk fell 79.70%.</w:t>
      </w:r>
    </w:p>
    <w:p>
      <w:pPr>
        <w:pStyle w:val="Heading1"/>
      </w:pPr>
      <w:r>
        <w:t>5. What unknowns did the experiment expose?</w:t>
      </w:r>
    </w:p>
    <w:p>
      <w:r>
        <w:t>R5 captured one generic error and two unseen-intent errors. Among R4-autonomous cases, generic: 88 cases, one error captured, 23 correct cases escalated; known: 123 cases, zero errors or escalations; unseen: 95 cases, four errors, two captured and no correct cases escalated. The missed unseen errors were IDs 658 (URLLC classified mMTC) and 810 (eMBB classified mMTC); both had semantic margins above the frozen threshold. The captured error IDs were 1197, 240 and 769. The concentration of false escalations in generic cases reveals a category-dependent coverage problem; it does not justify post-hoc threshold adjustment.</w:t>
      </w:r>
    </w:p>
    <w:p>
      <w:pPr>
        <w:pStyle w:val="Heading1"/>
      </w:pPr>
      <w:r>
        <w:t>6. Robustness, limitations and future directions</w:t>
      </w:r>
    </w:p>
    <w:p>
      <w:r>
        <w:t>Paired case-level bootstrap (10,000 resamples; seed 42) gave a 95% percentile interval for absolute R4-to-R5 selective-risk reduction of -0.053 to +2.184 percentage points, which includes zero. The observed improvement is therefore promising but not statistically conclusive at 95%. The experiment contains only five R4 residual errors and uses one frozen benchmark; it does not establish live network control reliability. Future work should test independent datasets and more residual errors, assess latency/operator cost, investigate generic-intent false escalations and category-aware semantic verification, and validate any revised policy on a new untouched held-out set.</w:t>
      </w:r>
    </w:p>
    <w:p>
      <w:pPr>
        <w:pStyle w:val="Heading1"/>
      </w:pPr>
      <w:r>
        <w:t>Reproducibility and evidence</w:t>
      </w:r>
    </w:p>
    <w:p>
      <w:r>
        <w:t>Frozen policy SHA256: b8e5ef13e6895fcfb3656f7257c94727e3cea17d38f08563436d55b6cf0ba243. Evidence includes frozen held-out decisions, R3/R4/R5 comparison, category audit, residual-error audit, threshold-proximity cases, bootstrap intervals, policy freeze record, and SHA256 manifest. Final ZIP: XAgentic_R5_FINAL_EVIDENCE.zip (93 files); local ZIP SHA256 verified: 29349a6717f9a89dcfdb957c6c91d8df640de1cb57a1ffa7f91e252dfc24cdb6.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35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35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